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25EC" w14:textId="77777777" w:rsidR="002E5D71" w:rsidRPr="0007090C" w:rsidRDefault="008016F9" w:rsidP="003E733E">
      <w:pPr>
        <w:rPr>
          <w:rFonts w:ascii="Arial" w:hAnsi="Arial" w:cs="Arial"/>
          <w:b/>
        </w:rPr>
      </w:pPr>
      <w:r w:rsidRPr="0007090C">
        <w:rPr>
          <w:rFonts w:ascii="Arial" w:hAnsi="Arial" w:cs="Arial"/>
          <w:b/>
          <w:noProof/>
        </w:rPr>
        <w:drawing>
          <wp:inline distT="0" distB="0" distL="0" distR="0" wp14:anchorId="3EA7B739" wp14:editId="432CDD00">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1">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75C8953D" w14:textId="77777777" w:rsidR="008016F9" w:rsidRPr="0007090C" w:rsidRDefault="008016F9" w:rsidP="003E733E">
      <w:pPr>
        <w:rPr>
          <w:rFonts w:ascii="Arial" w:hAnsi="Arial" w:cs="Arial"/>
          <w:b/>
        </w:rPr>
      </w:pPr>
    </w:p>
    <w:p w14:paraId="2B124271" w14:textId="77777777" w:rsidR="0007090C" w:rsidRPr="0007090C" w:rsidRDefault="0007090C" w:rsidP="003E733E">
      <w:pPr>
        <w:rPr>
          <w:rFonts w:ascii="Arial" w:hAnsi="Arial" w:cs="Arial"/>
          <w:b/>
        </w:rPr>
      </w:pPr>
    </w:p>
    <w:p w14:paraId="768BB77F" w14:textId="77777777" w:rsidR="00910B42" w:rsidRPr="0007090C" w:rsidRDefault="008016F9" w:rsidP="003E733E">
      <w:pPr>
        <w:rPr>
          <w:rFonts w:ascii="Arial" w:hAnsi="Arial" w:cs="Arial"/>
          <w:b/>
        </w:rPr>
      </w:pPr>
      <w:r w:rsidRPr="0007090C">
        <w:rPr>
          <w:rFonts w:ascii="Arial" w:hAnsi="Arial" w:cs="Arial"/>
          <w:b/>
          <w:noProof/>
        </w:rPr>
        <w:drawing>
          <wp:inline distT="0" distB="0" distL="0" distR="0" wp14:anchorId="2B2713EE" wp14:editId="15345D84">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2">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690B8A28" w14:textId="77777777" w:rsidR="00707C7F" w:rsidRPr="0007090C" w:rsidRDefault="00707C7F" w:rsidP="003E733E">
      <w:pPr>
        <w:rPr>
          <w:rFonts w:ascii="Arial" w:hAnsi="Arial" w:cs="Arial"/>
          <w:b/>
        </w:rPr>
      </w:pPr>
    </w:p>
    <w:p w14:paraId="7AC006A8" w14:textId="66AAAB5D" w:rsidR="00725041" w:rsidRDefault="00725041" w:rsidP="003E733E">
      <w:pPr>
        <w:widowControl w:val="0"/>
        <w:tabs>
          <w:tab w:val="left" w:pos="2736"/>
        </w:tabs>
        <w:rPr>
          <w:rFonts w:ascii="Arial" w:hAnsi="Arial" w:cs="Arial"/>
          <w:b/>
        </w:rPr>
      </w:pPr>
      <w:r w:rsidRPr="0007090C">
        <w:rPr>
          <w:rFonts w:ascii="Arial" w:hAnsi="Arial" w:cs="Arial"/>
          <w:b/>
        </w:rPr>
        <w:t xml:space="preserve">Appointment of a </w:t>
      </w:r>
      <w:r w:rsidR="005E21AA">
        <w:rPr>
          <w:rFonts w:ascii="Arial" w:hAnsi="Arial" w:cs="Arial"/>
          <w:b/>
        </w:rPr>
        <w:t>Lecturer</w:t>
      </w:r>
      <w:r w:rsidR="006137D5" w:rsidRPr="0007090C">
        <w:rPr>
          <w:rFonts w:ascii="Arial" w:hAnsi="Arial" w:cs="Arial"/>
          <w:b/>
        </w:rPr>
        <w:t xml:space="preserve"> in </w:t>
      </w:r>
      <w:r w:rsidR="00397295" w:rsidRPr="0007090C">
        <w:rPr>
          <w:rFonts w:ascii="Arial" w:hAnsi="Arial" w:cs="Arial"/>
          <w:b/>
        </w:rPr>
        <w:t>Medicines Use</w:t>
      </w:r>
      <w:r w:rsidR="003D2A5E" w:rsidRPr="0007090C">
        <w:rPr>
          <w:rFonts w:ascii="Arial" w:hAnsi="Arial" w:cs="Arial"/>
          <w:b/>
        </w:rPr>
        <w:t xml:space="preserve"> </w:t>
      </w:r>
      <w:r w:rsidR="006137D5" w:rsidRPr="0007090C">
        <w:rPr>
          <w:rFonts w:ascii="Arial" w:hAnsi="Arial" w:cs="Arial"/>
          <w:b/>
        </w:rPr>
        <w:t>(</w:t>
      </w:r>
      <w:r w:rsidR="00485DF7">
        <w:rPr>
          <w:rFonts w:ascii="Arial" w:hAnsi="Arial" w:cs="Arial"/>
          <w:b/>
        </w:rPr>
        <w:t>0.8</w:t>
      </w:r>
      <w:r w:rsidR="0007090C">
        <w:rPr>
          <w:rFonts w:ascii="Arial" w:hAnsi="Arial" w:cs="Arial"/>
          <w:b/>
        </w:rPr>
        <w:t xml:space="preserve"> full-time equivalent</w:t>
      </w:r>
      <w:r w:rsidR="006137D5" w:rsidRPr="0007090C">
        <w:rPr>
          <w:rFonts w:ascii="Arial" w:hAnsi="Arial" w:cs="Arial"/>
          <w:b/>
        </w:rPr>
        <w:t>)</w:t>
      </w:r>
    </w:p>
    <w:p w14:paraId="33CC4AFA" w14:textId="77777777" w:rsidR="0007090C" w:rsidRPr="0007090C" w:rsidRDefault="0007090C" w:rsidP="003E733E">
      <w:pPr>
        <w:widowControl w:val="0"/>
        <w:tabs>
          <w:tab w:val="left" w:pos="2736"/>
        </w:tabs>
        <w:rPr>
          <w:rFonts w:ascii="Arial" w:hAnsi="Arial" w:cs="Arial"/>
          <w:b/>
        </w:rPr>
      </w:pPr>
    </w:p>
    <w:p w14:paraId="3F651AAF" w14:textId="77777777" w:rsidR="0007090C" w:rsidRDefault="00725041" w:rsidP="003E733E">
      <w:pPr>
        <w:ind w:left="2127" w:hanging="2127"/>
        <w:rPr>
          <w:rFonts w:ascii="Arial" w:eastAsiaTheme="minorHAnsi" w:hAnsi="Arial" w:cs="Arial"/>
          <w:b/>
          <w:sz w:val="22"/>
          <w:szCs w:val="22"/>
          <w:lang w:eastAsia="en-US"/>
        </w:rPr>
      </w:pPr>
      <w:r w:rsidRPr="009660A7">
        <w:rPr>
          <w:rFonts w:ascii="Arial" w:eastAsiaTheme="minorHAnsi" w:hAnsi="Arial" w:cs="Arial"/>
          <w:b/>
          <w:sz w:val="22"/>
          <w:szCs w:val="22"/>
          <w:lang w:eastAsia="en-US"/>
        </w:rPr>
        <w:t>The Job</w:t>
      </w:r>
    </w:p>
    <w:p w14:paraId="24BD7874" w14:textId="77777777" w:rsidR="00481616" w:rsidRDefault="00481616" w:rsidP="003E733E">
      <w:pPr>
        <w:ind w:left="2127" w:hanging="2127"/>
        <w:rPr>
          <w:rFonts w:ascii="Arial" w:eastAsiaTheme="minorHAnsi" w:hAnsi="Arial" w:cs="Arial"/>
          <w:b/>
          <w:sz w:val="22"/>
          <w:szCs w:val="22"/>
          <w:lang w:eastAsia="en-US"/>
        </w:rPr>
      </w:pPr>
    </w:p>
    <w:p w14:paraId="13C2BB8E" w14:textId="77777777" w:rsidR="00481616" w:rsidRPr="00481616" w:rsidRDefault="00481616" w:rsidP="1FCA4E78">
      <w:pPr>
        <w:spacing w:after="200" w:line="276" w:lineRule="auto"/>
        <w:rPr>
          <w:rFonts w:ascii="Arial" w:eastAsiaTheme="minorEastAsia" w:hAnsi="Arial" w:cs="Arial"/>
          <w:sz w:val="22"/>
          <w:szCs w:val="22"/>
          <w:lang w:eastAsia="en-US"/>
        </w:rPr>
      </w:pPr>
      <w:r w:rsidRPr="1FCA4E78">
        <w:rPr>
          <w:rFonts w:ascii="Arial" w:eastAsiaTheme="minorEastAsia" w:hAnsi="Arial" w:cs="Arial"/>
          <w:sz w:val="22"/>
          <w:szCs w:val="22"/>
          <w:lang w:eastAsia="en-US"/>
        </w:rPr>
        <w:t>The postholder will contribute to the</w:t>
      </w:r>
      <w:r w:rsidR="00156B0C">
        <w:rPr>
          <w:rFonts w:ascii="Arial" w:eastAsiaTheme="minorEastAsia" w:hAnsi="Arial" w:cs="Arial"/>
          <w:sz w:val="22"/>
          <w:szCs w:val="22"/>
          <w:lang w:eastAsia="en-US"/>
        </w:rPr>
        <w:t xml:space="preserve"> m</w:t>
      </w:r>
      <w:r w:rsidRPr="1FCA4E78">
        <w:rPr>
          <w:rFonts w:ascii="Arial" w:eastAsiaTheme="minorEastAsia" w:hAnsi="Arial" w:cs="Arial"/>
          <w:sz w:val="22"/>
          <w:szCs w:val="22"/>
          <w:lang w:eastAsia="en-US"/>
        </w:rPr>
        <w:t xml:space="preserve">edicines use teaching of both undergraduate and postgraduate students using a range of delivery methods. These will include lectures, small group teaching, physical assessment instruction and work-place based tuition. Involvement in student assessment, especially as it relates to clinical skills, will also be a key element of this post. The post holder will lead on the design and delivery of </w:t>
      </w:r>
      <w:r w:rsidR="006706C3">
        <w:rPr>
          <w:rFonts w:ascii="Arial" w:eastAsiaTheme="minorEastAsia" w:hAnsi="Arial" w:cs="Arial"/>
          <w:sz w:val="22"/>
          <w:szCs w:val="22"/>
          <w:lang w:eastAsia="en-US"/>
        </w:rPr>
        <w:t xml:space="preserve">simulation workshops that develop the fundamental skills associated with </w:t>
      </w:r>
      <w:r w:rsidRPr="1FCA4E78">
        <w:rPr>
          <w:rFonts w:ascii="Arial" w:eastAsiaTheme="minorEastAsia" w:hAnsi="Arial" w:cs="Arial"/>
          <w:sz w:val="22"/>
          <w:szCs w:val="22"/>
          <w:lang w:eastAsia="en-US"/>
        </w:rPr>
        <w:t xml:space="preserve">prescribing </w:t>
      </w:r>
      <w:r w:rsidR="006706C3">
        <w:rPr>
          <w:rFonts w:ascii="Arial" w:eastAsiaTheme="minorEastAsia" w:hAnsi="Arial" w:cs="Arial"/>
          <w:sz w:val="22"/>
          <w:szCs w:val="22"/>
          <w:lang w:eastAsia="en-US"/>
        </w:rPr>
        <w:t>for our</w:t>
      </w:r>
      <w:r w:rsidRPr="1FCA4E78">
        <w:rPr>
          <w:rFonts w:ascii="Arial" w:eastAsiaTheme="minorEastAsia" w:hAnsi="Arial" w:cs="Arial"/>
          <w:sz w:val="22"/>
          <w:szCs w:val="22"/>
          <w:lang w:eastAsia="en-US"/>
        </w:rPr>
        <w:t xml:space="preserve"> undergraduate pharmacy students in order to meet the standards set out by the General Pharmaceutical Council. </w:t>
      </w:r>
    </w:p>
    <w:p w14:paraId="30A20004" w14:textId="77777777" w:rsidR="1FCA4E78" w:rsidRDefault="1FCA4E78" w:rsidP="1FCA4E78">
      <w:pPr>
        <w:spacing w:after="200" w:line="276" w:lineRule="auto"/>
        <w:rPr>
          <w:rFonts w:ascii="Arial" w:eastAsiaTheme="minorEastAsia" w:hAnsi="Arial" w:cs="Arial"/>
          <w:sz w:val="22"/>
          <w:szCs w:val="22"/>
          <w:lang w:eastAsia="en-US"/>
        </w:rPr>
      </w:pPr>
      <w:r w:rsidRPr="1FCA4E78">
        <w:rPr>
          <w:rFonts w:ascii="Arial" w:eastAsiaTheme="minorEastAsia" w:hAnsi="Arial" w:cs="Arial"/>
          <w:sz w:val="22"/>
          <w:szCs w:val="22"/>
          <w:lang w:eastAsia="en-US"/>
        </w:rPr>
        <w:t>Given the postholder will teach advanced clinical skills</w:t>
      </w:r>
      <w:r w:rsidR="00B65F21">
        <w:rPr>
          <w:rFonts w:ascii="Arial" w:eastAsiaTheme="minorEastAsia" w:hAnsi="Arial" w:cs="Arial"/>
          <w:sz w:val="22"/>
          <w:szCs w:val="22"/>
          <w:lang w:eastAsia="en-US"/>
        </w:rPr>
        <w:t>,</w:t>
      </w:r>
      <w:r w:rsidRPr="1FCA4E78">
        <w:rPr>
          <w:rFonts w:ascii="Arial" w:eastAsiaTheme="minorEastAsia" w:hAnsi="Arial" w:cs="Arial"/>
          <w:sz w:val="22"/>
          <w:szCs w:val="22"/>
          <w:lang w:eastAsia="en-US"/>
        </w:rPr>
        <w:t xml:space="preserve"> we will make provision for the appointee to maintain their clinical competence within either the primary or secondary care sector.</w:t>
      </w:r>
    </w:p>
    <w:p w14:paraId="51E77397" w14:textId="10E619D8" w:rsidR="00EF3A59" w:rsidRPr="009660A7" w:rsidRDefault="00EF3A59" w:rsidP="00EF3A59">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The range of duties of a university lecturer is extensive and diverse. The following summary indicates the nature of this range. Almost all academic staff will be expected to contribute to both the teaching and the research activity of their subject area. </w:t>
      </w:r>
    </w:p>
    <w:p w14:paraId="39BB1953" w14:textId="77777777" w:rsidR="00C91C6B" w:rsidRDefault="00C91C6B" w:rsidP="00485DF7">
      <w:pPr>
        <w:rPr>
          <w:rFonts w:ascii="Arial" w:eastAsiaTheme="minorHAnsi" w:hAnsi="Arial" w:cs="Arial"/>
          <w:b/>
          <w:sz w:val="22"/>
          <w:szCs w:val="22"/>
          <w:lang w:eastAsia="en-US"/>
        </w:rPr>
      </w:pPr>
    </w:p>
    <w:p w14:paraId="59C754E0" w14:textId="77777777" w:rsidR="009660A7" w:rsidRDefault="009660A7" w:rsidP="003E733E">
      <w:pPr>
        <w:ind w:left="2127" w:hanging="2127"/>
        <w:rPr>
          <w:rFonts w:ascii="Arial" w:eastAsiaTheme="minorHAnsi" w:hAnsi="Arial" w:cs="Arial"/>
          <w:b/>
          <w:sz w:val="22"/>
          <w:szCs w:val="22"/>
          <w:lang w:eastAsia="en-US"/>
        </w:rPr>
      </w:pPr>
      <w:r w:rsidRPr="009660A7">
        <w:rPr>
          <w:rFonts w:ascii="Arial" w:eastAsiaTheme="minorHAnsi" w:hAnsi="Arial" w:cs="Arial"/>
          <w:b/>
          <w:sz w:val="22"/>
          <w:szCs w:val="22"/>
          <w:lang w:eastAsia="en-US"/>
        </w:rPr>
        <w:t>Teaching and scholarship</w:t>
      </w:r>
    </w:p>
    <w:p w14:paraId="4F0FF967" w14:textId="77777777" w:rsidR="009660A7" w:rsidRPr="009660A7" w:rsidRDefault="009660A7" w:rsidP="003E733E">
      <w:pPr>
        <w:ind w:left="2127" w:hanging="2127"/>
        <w:rPr>
          <w:rFonts w:ascii="Arial" w:eastAsiaTheme="minorHAnsi" w:hAnsi="Arial" w:cs="Arial"/>
          <w:b/>
          <w:sz w:val="22"/>
          <w:szCs w:val="22"/>
          <w:lang w:eastAsia="en-US"/>
        </w:rPr>
      </w:pPr>
    </w:p>
    <w:p w14:paraId="32DFD111" w14:textId="77777777" w:rsidR="009660A7"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(AC2) is expected to possess, develop and utilise a range of teaching methods and ways of supporting student learning. These may </w:t>
      </w:r>
      <w:r w:rsidR="00AB43E9" w:rsidRPr="009660A7">
        <w:rPr>
          <w:rFonts w:ascii="Arial" w:eastAsiaTheme="minorHAnsi" w:hAnsi="Arial" w:cs="Arial"/>
          <w:sz w:val="22"/>
          <w:szCs w:val="22"/>
          <w:lang w:eastAsia="en-US"/>
        </w:rPr>
        <w:t>include</w:t>
      </w:r>
      <w:r w:rsidRPr="009660A7">
        <w:rPr>
          <w:rFonts w:ascii="Arial" w:eastAsiaTheme="minorHAnsi" w:hAnsi="Arial" w:cs="Arial"/>
          <w:sz w:val="22"/>
          <w:szCs w:val="22"/>
          <w:lang w:eastAsia="en-US"/>
        </w:rPr>
        <w:t xml:space="preserve"> lectures, seminars, tutorials, forms of e-learning, workshops, laboratory classes and individual supervision. </w:t>
      </w:r>
    </w:p>
    <w:p w14:paraId="4F643B30" w14:textId="77777777" w:rsid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w:t>
      </w:r>
      <w:r w:rsidR="00B65F21">
        <w:rPr>
          <w:rFonts w:ascii="Arial" w:eastAsiaTheme="minorHAnsi" w:hAnsi="Arial" w:cs="Arial"/>
          <w:sz w:val="22"/>
          <w:szCs w:val="22"/>
          <w:lang w:eastAsia="en-US"/>
        </w:rPr>
        <w:t>through</w:t>
      </w:r>
      <w:r w:rsidRPr="009660A7">
        <w:rPr>
          <w:rFonts w:ascii="Arial" w:eastAsiaTheme="minorHAnsi" w:hAnsi="Arial" w:cs="Arial"/>
          <w:sz w:val="22"/>
          <w:szCs w:val="22"/>
          <w:lang w:eastAsia="en-US"/>
        </w:rPr>
        <w:t xml:space="preserve"> self-reflection and the gathering and analysis of student feedback and teach as a member of a team within the framework of an established course.  An understanding of equal opportunities issues </w:t>
      </w:r>
      <w:r w:rsidR="00CF46FA">
        <w:rPr>
          <w:rFonts w:ascii="Arial" w:eastAsiaTheme="minorHAnsi" w:hAnsi="Arial" w:cs="Arial"/>
          <w:sz w:val="22"/>
          <w:szCs w:val="22"/>
          <w:lang w:eastAsia="en-US"/>
        </w:rPr>
        <w:t xml:space="preserve">and equality, diversity and inclusion </w:t>
      </w:r>
      <w:r w:rsidRPr="009660A7">
        <w:rPr>
          <w:rFonts w:ascii="Arial" w:eastAsiaTheme="minorHAnsi" w:hAnsi="Arial" w:cs="Arial"/>
          <w:sz w:val="22"/>
          <w:szCs w:val="22"/>
          <w:lang w:eastAsia="en-US"/>
        </w:rPr>
        <w:t>with regard to academic content and teaching delivery is also expected.</w:t>
      </w:r>
    </w:p>
    <w:p w14:paraId="456825C9" w14:textId="77777777" w:rsidR="00C91C6B" w:rsidRPr="009660A7" w:rsidRDefault="00C91C6B" w:rsidP="003E733E">
      <w:pPr>
        <w:spacing w:after="200" w:line="276" w:lineRule="auto"/>
        <w:rPr>
          <w:rFonts w:ascii="Arial" w:eastAsiaTheme="minorHAnsi" w:hAnsi="Arial" w:cs="Arial"/>
          <w:sz w:val="22"/>
          <w:szCs w:val="22"/>
          <w:lang w:eastAsia="en-US"/>
        </w:rPr>
      </w:pPr>
    </w:p>
    <w:p w14:paraId="477E5A33"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Research and scholarship</w:t>
      </w:r>
    </w:p>
    <w:p w14:paraId="5D5FB284" w14:textId="73E0DC25" w:rsidR="00C91C6B"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is expected to: continually update their disciplinary and/or professional knowledge and understanding; develop personal (and, where appropriate, collaborative) research objectives; write up research work for publication; translate new subject knowledge into </w:t>
      </w:r>
      <w:r w:rsidRPr="009660A7">
        <w:rPr>
          <w:rFonts w:ascii="Arial" w:eastAsiaTheme="minorHAnsi" w:hAnsi="Arial" w:cs="Arial"/>
          <w:sz w:val="22"/>
          <w:szCs w:val="22"/>
          <w:lang w:eastAsia="en-US"/>
        </w:rPr>
        <w:lastRenderedPageBreak/>
        <w:t>teaching content; and reflect on their own practice as a higher education teacher. Engagement in continuous professional development with regard to disciplinary/professional and pedagogic expertise is required.</w:t>
      </w:r>
    </w:p>
    <w:p w14:paraId="3B506B30"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Communication</w:t>
      </w:r>
    </w:p>
    <w:p w14:paraId="1C2D9387" w14:textId="60D035C9" w:rsidR="00C91C6B"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should be able to: deal with routine communication using a range of media; communicate complex information orally, in writing and electronically and communicate material of a specialist or highly technical nature.  </w:t>
      </w:r>
    </w:p>
    <w:p w14:paraId="1B815C0A"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Liaison and networking</w:t>
      </w:r>
    </w:p>
    <w:p w14:paraId="421210D7" w14:textId="517A3CEA" w:rsidR="00C91C6B"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A Lecturer is expected to: liaise effectively with colleagues and students; build internal contacts and participate in internal information exchange networks and join external networks to share ideas.</w:t>
      </w:r>
    </w:p>
    <w:p w14:paraId="4A1CD462"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Managing people</w:t>
      </w:r>
    </w:p>
    <w:p w14:paraId="16C400A1" w14:textId="17368365" w:rsidR="00C91C6B"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A Lecturer will be able to agree and largely self-manage teaching, research and administrative activities.</w:t>
      </w:r>
    </w:p>
    <w:p w14:paraId="7858DD7A"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Teamwork</w:t>
      </w:r>
    </w:p>
    <w:p w14:paraId="04358BFB" w14:textId="77777777" w:rsid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A Lecturer is expected to: collaborate with academic colleagues on course development, curriculum changes and the development of research; attend and contribute to subject group and similar meetings and collaborate with colleagues across the university to identify and respond to students’ needs.</w:t>
      </w:r>
    </w:p>
    <w:p w14:paraId="00F6010D" w14:textId="77777777" w:rsidR="00EF3A59" w:rsidRPr="009660A7" w:rsidRDefault="00EF3A59" w:rsidP="00EF3A59">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Pastoral Care</w:t>
      </w:r>
    </w:p>
    <w:p w14:paraId="7892FE1A" w14:textId="461EF245" w:rsidR="00EF3A59" w:rsidRPr="009660A7" w:rsidRDefault="00EF3A59" w:rsidP="00EF3A59">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A Lecturer 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3A2B15FF" w14:textId="77777777" w:rsidR="00EF3A59" w:rsidRPr="009660A7" w:rsidRDefault="00EF3A59" w:rsidP="00EF3A59">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 xml:space="preserve">Initiative, problem-solving and decision making </w:t>
      </w:r>
    </w:p>
    <w:p w14:paraId="340A81E5" w14:textId="139A089A" w:rsidR="00EF3A59" w:rsidRPr="009660A7" w:rsidRDefault="00EF3A59" w:rsidP="00EF3A59">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A Lecturer will be able to:  develop and apply initiative, creativity and judgement in the conduct of teaching and research; respond effectively to pedagogical and practical challenges, and contribute to decision making on, and share responsibility for, the academic content, delivery and assessment of modules.</w:t>
      </w:r>
    </w:p>
    <w:p w14:paraId="1225EE68" w14:textId="77777777" w:rsidR="00EF3A59" w:rsidRPr="009660A7" w:rsidRDefault="00EF3A59" w:rsidP="00EF3A59">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Planning and managing resources</w:t>
      </w:r>
    </w:p>
    <w:p w14:paraId="5437D8CE" w14:textId="77777777" w:rsidR="00EF3A59" w:rsidRPr="009660A7" w:rsidRDefault="00EF3A59" w:rsidP="00EF3A59">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A Lecturer will be able to plan and manage their own teaching and the use of teaching and research resources, including laboratories and workshops, as agreed with relevant senior colleagues. An awareness of risks in the work environment and their potential impact will be expected.</w:t>
      </w:r>
    </w:p>
    <w:p w14:paraId="418566BF" w14:textId="77777777" w:rsidR="00485DF7" w:rsidRDefault="00485DF7" w:rsidP="00EF3A59">
      <w:pPr>
        <w:spacing w:after="200" w:line="276" w:lineRule="auto"/>
        <w:rPr>
          <w:rFonts w:ascii="Arial" w:eastAsiaTheme="minorHAnsi" w:hAnsi="Arial" w:cs="Arial"/>
          <w:sz w:val="22"/>
          <w:szCs w:val="22"/>
          <w:lang w:eastAsia="en-US"/>
        </w:rPr>
      </w:pPr>
    </w:p>
    <w:p w14:paraId="29108EC7" w14:textId="77777777" w:rsidR="00485DF7" w:rsidRDefault="00485DF7" w:rsidP="00EF3A59">
      <w:pPr>
        <w:spacing w:after="200" w:line="276" w:lineRule="auto"/>
        <w:rPr>
          <w:rFonts w:ascii="Arial" w:eastAsiaTheme="minorHAnsi" w:hAnsi="Arial" w:cs="Arial"/>
          <w:b/>
          <w:sz w:val="22"/>
          <w:szCs w:val="22"/>
          <w:lang w:eastAsia="en-US"/>
        </w:rPr>
      </w:pPr>
    </w:p>
    <w:p w14:paraId="370FAE1D" w14:textId="77777777" w:rsidR="00485DF7" w:rsidRDefault="00485DF7" w:rsidP="00EF3A59">
      <w:pPr>
        <w:spacing w:after="200" w:line="276" w:lineRule="auto"/>
        <w:rPr>
          <w:rFonts w:ascii="Arial" w:eastAsiaTheme="minorHAnsi" w:hAnsi="Arial" w:cs="Arial"/>
          <w:b/>
          <w:sz w:val="22"/>
          <w:szCs w:val="22"/>
          <w:lang w:eastAsia="en-US"/>
        </w:rPr>
      </w:pPr>
    </w:p>
    <w:p w14:paraId="5D4FA239" w14:textId="5AEB654C" w:rsidR="00EF3A59" w:rsidRPr="00485DF7" w:rsidRDefault="00EF3A59" w:rsidP="00485DF7">
      <w:pPr>
        <w:spacing w:after="200" w:line="276" w:lineRule="auto"/>
        <w:rPr>
          <w:rFonts w:ascii="Arial" w:hAnsi="Arial" w:cs="Arial"/>
          <w:b/>
        </w:rPr>
      </w:pPr>
      <w:r w:rsidRPr="009660A7">
        <w:rPr>
          <w:rFonts w:ascii="Arial" w:eastAsiaTheme="minorHAnsi" w:hAnsi="Arial" w:cs="Arial"/>
          <w:b/>
          <w:sz w:val="22"/>
          <w:szCs w:val="22"/>
          <w:lang w:eastAsia="en-US"/>
        </w:rPr>
        <w:lastRenderedPageBreak/>
        <w:t>Person Specification</w:t>
      </w:r>
    </w:p>
    <w:p w14:paraId="530F4FDB" w14:textId="77777777" w:rsidR="00EF3A59" w:rsidRPr="0007090C" w:rsidRDefault="00EF3A59" w:rsidP="00EF3A59">
      <w:pPr>
        <w:rPr>
          <w:rFonts w:ascii="Arial" w:hAnsi="Arial" w:cs="Arial"/>
          <w:sz w:val="22"/>
          <w:szCs w:val="22"/>
        </w:rPr>
      </w:pPr>
      <w:r w:rsidRPr="0007090C">
        <w:rPr>
          <w:rFonts w:ascii="Arial" w:hAnsi="Arial" w:cs="Arial"/>
          <w:sz w:val="22"/>
          <w:szCs w:val="22"/>
        </w:rPr>
        <w:t>It is expected that the criteria below regarding knowledge and qualifications will be met by the successful candidate.</w:t>
      </w:r>
    </w:p>
    <w:p w14:paraId="0D7754A9" w14:textId="77777777" w:rsidR="00EF3A59" w:rsidRPr="0007090C" w:rsidRDefault="00EF3A59" w:rsidP="00EF3A59">
      <w:pPr>
        <w:rPr>
          <w:rFonts w:ascii="Arial" w:hAnsi="Arial" w:cs="Arial"/>
          <w:b/>
        </w:rPr>
      </w:pPr>
    </w:p>
    <w:p w14:paraId="35F7918A" w14:textId="77777777" w:rsidR="00EF3A59" w:rsidRDefault="00EF3A59" w:rsidP="00EF3A59">
      <w:pPr>
        <w:rPr>
          <w:rFonts w:ascii="Arial" w:hAnsi="Arial" w:cs="Arial"/>
          <w:b/>
        </w:rPr>
      </w:pPr>
      <w:r w:rsidRPr="0007090C">
        <w:rPr>
          <w:rFonts w:ascii="Arial" w:hAnsi="Arial" w:cs="Arial"/>
          <w:b/>
        </w:rPr>
        <w:t>Essential</w:t>
      </w:r>
    </w:p>
    <w:p w14:paraId="7597332C" w14:textId="77777777" w:rsidR="00EF3A59" w:rsidRPr="0007090C" w:rsidRDefault="00EF3A59" w:rsidP="00EF3A59">
      <w:pPr>
        <w:rPr>
          <w:rFonts w:ascii="Arial" w:hAnsi="Arial" w:cs="Arial"/>
          <w:b/>
        </w:rPr>
      </w:pPr>
    </w:p>
    <w:p w14:paraId="4493093C" w14:textId="23F69B1D" w:rsidR="00EF3A59" w:rsidRPr="00CA5C4A" w:rsidRDefault="00EF3A59" w:rsidP="00EF3A59">
      <w:pPr>
        <w:pStyle w:val="ListParagraph"/>
        <w:widowControl w:val="0"/>
        <w:numPr>
          <w:ilvl w:val="0"/>
          <w:numId w:val="8"/>
        </w:numPr>
        <w:ind w:hanging="720"/>
        <w:rPr>
          <w:rFonts w:ascii="Arial" w:hAnsi="Arial" w:cs="Arial"/>
        </w:rPr>
      </w:pPr>
      <w:r w:rsidRPr="00CA5C4A">
        <w:rPr>
          <w:rFonts w:ascii="Arial" w:hAnsi="Arial" w:cs="Arial"/>
        </w:rPr>
        <w:t xml:space="preserve">A </w:t>
      </w:r>
      <w:r w:rsidR="00892431" w:rsidRPr="00CA5C4A">
        <w:rPr>
          <w:rFonts w:ascii="Arial" w:hAnsi="Arial" w:cs="Arial"/>
        </w:rPr>
        <w:t>r</w:t>
      </w:r>
      <w:r w:rsidR="00440AB6" w:rsidRPr="00CA5C4A">
        <w:rPr>
          <w:rFonts w:ascii="Arial" w:hAnsi="Arial" w:cs="Arial"/>
        </w:rPr>
        <w:t>elevant</w:t>
      </w:r>
      <w:r w:rsidRPr="00CA5C4A">
        <w:rPr>
          <w:rFonts w:ascii="Arial" w:hAnsi="Arial" w:cs="Arial"/>
        </w:rPr>
        <w:t xml:space="preserve"> degree </w:t>
      </w:r>
      <w:r w:rsidR="00892431" w:rsidRPr="00CA5C4A">
        <w:rPr>
          <w:rFonts w:ascii="Arial" w:hAnsi="Arial" w:cs="Arial"/>
        </w:rPr>
        <w:t xml:space="preserve">in Pharmacy </w:t>
      </w:r>
      <w:r w:rsidRPr="00CA5C4A">
        <w:rPr>
          <w:rFonts w:ascii="Arial" w:hAnsi="Arial" w:cs="Arial"/>
        </w:rPr>
        <w:t>(or non-UK equivalent)</w:t>
      </w:r>
      <w:r w:rsidR="00892431" w:rsidRPr="00CA5C4A">
        <w:rPr>
          <w:rFonts w:ascii="Arial" w:hAnsi="Arial" w:cs="Arial"/>
        </w:rPr>
        <w:t xml:space="preserve"> </w:t>
      </w:r>
    </w:p>
    <w:p w14:paraId="57D60C27" w14:textId="77777777" w:rsidR="00EF3A59" w:rsidRPr="00CA5C4A" w:rsidRDefault="00EF3A59" w:rsidP="00EF3A59">
      <w:pPr>
        <w:pStyle w:val="ListParagraph"/>
        <w:widowControl w:val="0"/>
        <w:numPr>
          <w:ilvl w:val="0"/>
          <w:numId w:val="8"/>
        </w:numPr>
        <w:ind w:hanging="720"/>
        <w:rPr>
          <w:rFonts w:ascii="Arial" w:hAnsi="Arial" w:cs="Arial"/>
        </w:rPr>
      </w:pPr>
      <w:r w:rsidRPr="00CA5C4A">
        <w:rPr>
          <w:rFonts w:ascii="Arial" w:hAnsi="Arial" w:cs="Arial"/>
        </w:rPr>
        <w:t>Registered with or registerable with The General Pharmaceutical Council (GPhC) or The Pharmaceutical Society of Northern Ireland (PSNI)</w:t>
      </w:r>
    </w:p>
    <w:p w14:paraId="23C82BCA" w14:textId="492B6640" w:rsidR="00F534C1" w:rsidRPr="00F534C1" w:rsidRDefault="00F534C1" w:rsidP="00EF3A59">
      <w:pPr>
        <w:pStyle w:val="ListParagraph"/>
        <w:widowControl w:val="0"/>
        <w:numPr>
          <w:ilvl w:val="0"/>
          <w:numId w:val="8"/>
        </w:numPr>
        <w:ind w:hanging="720"/>
        <w:rPr>
          <w:rFonts w:ascii="Arial" w:hAnsi="Arial" w:cs="Arial"/>
        </w:rPr>
      </w:pPr>
      <w:r w:rsidRPr="00F534C1">
        <w:rPr>
          <w:rFonts w:ascii="Arial" w:hAnsi="Arial" w:cs="Arial"/>
        </w:rPr>
        <w:t>Up-to-date, sound knowledge of the subject including current professional/vocational developments and the range of generic skills required.</w:t>
      </w:r>
    </w:p>
    <w:p w14:paraId="6FF0EE62" w14:textId="77777777" w:rsidR="00F534C1" w:rsidRPr="00F534C1" w:rsidRDefault="00F534C1" w:rsidP="00F534C1">
      <w:pPr>
        <w:pStyle w:val="ListParagraph"/>
        <w:widowControl w:val="0"/>
        <w:numPr>
          <w:ilvl w:val="0"/>
          <w:numId w:val="8"/>
        </w:numPr>
        <w:ind w:hanging="720"/>
        <w:rPr>
          <w:rFonts w:ascii="Arial" w:hAnsi="Arial" w:cs="Arial"/>
        </w:rPr>
      </w:pPr>
      <w:r w:rsidRPr="00F534C1">
        <w:rPr>
          <w:rFonts w:ascii="Arial" w:hAnsi="Arial" w:cs="Arial"/>
        </w:rPr>
        <w:t>Understanding of academic and award standards and the range and level of knowledge and skills, both subject-specific and generic, which the programme is intended to foster.</w:t>
      </w:r>
    </w:p>
    <w:p w14:paraId="08F611BA" w14:textId="2A789CDA" w:rsidR="00F534C1" w:rsidRDefault="00F534C1" w:rsidP="00F534C1">
      <w:pPr>
        <w:pStyle w:val="ListParagraph"/>
        <w:widowControl w:val="0"/>
        <w:numPr>
          <w:ilvl w:val="0"/>
          <w:numId w:val="8"/>
        </w:numPr>
        <w:ind w:hanging="720"/>
        <w:rPr>
          <w:rFonts w:ascii="Arial" w:hAnsi="Arial" w:cs="Arial"/>
        </w:rPr>
      </w:pPr>
      <w:r w:rsidRPr="00F534C1">
        <w:rPr>
          <w:rFonts w:ascii="Arial" w:hAnsi="Arial" w:cs="Arial"/>
        </w:rPr>
        <w:t>Competent IT skills and effective use of IT for teaching and learning.</w:t>
      </w:r>
    </w:p>
    <w:p w14:paraId="1B49A790" w14:textId="42EB273C" w:rsidR="00F72610" w:rsidRPr="00F534C1" w:rsidRDefault="00F72610" w:rsidP="00F534C1">
      <w:pPr>
        <w:pStyle w:val="ListParagraph"/>
        <w:widowControl w:val="0"/>
        <w:numPr>
          <w:ilvl w:val="0"/>
          <w:numId w:val="8"/>
        </w:numPr>
        <w:ind w:hanging="720"/>
        <w:rPr>
          <w:rFonts w:ascii="Arial" w:hAnsi="Arial" w:cs="Arial"/>
        </w:rPr>
      </w:pPr>
      <w:r>
        <w:rPr>
          <w:rFonts w:ascii="Arial" w:hAnsi="Arial" w:cs="Arial"/>
        </w:rPr>
        <w:t>A</w:t>
      </w:r>
      <w:r w:rsidRPr="00F72610">
        <w:rPr>
          <w:rFonts w:ascii="Arial" w:hAnsi="Arial" w:cs="Arial"/>
        </w:rPr>
        <w:t xml:space="preserve"> track record of delivery high quality clinical pharmacy services in a defined specialist area. This would include prescribing to a specific cohort of patients.</w:t>
      </w:r>
    </w:p>
    <w:p w14:paraId="5E6146E5" w14:textId="77777777" w:rsidR="00F534C1" w:rsidRPr="00CA5C4A" w:rsidRDefault="00F534C1" w:rsidP="00F534C1">
      <w:pPr>
        <w:pStyle w:val="ListParagraph"/>
        <w:widowControl w:val="0"/>
        <w:rPr>
          <w:rFonts w:ascii="Arial" w:hAnsi="Arial" w:cs="Arial"/>
        </w:rPr>
      </w:pPr>
    </w:p>
    <w:p w14:paraId="0C63F870" w14:textId="77777777" w:rsidR="00EF3A59" w:rsidRDefault="00EF3A59" w:rsidP="00EF3A59">
      <w:pPr>
        <w:rPr>
          <w:rFonts w:ascii="Arial" w:hAnsi="Arial" w:cs="Arial"/>
          <w:b/>
        </w:rPr>
      </w:pPr>
      <w:r w:rsidRPr="0007090C">
        <w:rPr>
          <w:rFonts w:ascii="Arial" w:hAnsi="Arial" w:cs="Arial"/>
          <w:b/>
        </w:rPr>
        <w:t>Desirable</w:t>
      </w:r>
    </w:p>
    <w:p w14:paraId="723EA731" w14:textId="77777777" w:rsidR="00EF3A59" w:rsidRPr="0007090C" w:rsidRDefault="00EF3A59" w:rsidP="00EF3A59">
      <w:pPr>
        <w:rPr>
          <w:rFonts w:ascii="Arial" w:hAnsi="Arial" w:cs="Arial"/>
          <w:b/>
        </w:rPr>
      </w:pPr>
    </w:p>
    <w:p w14:paraId="4114BB13" w14:textId="2FB593A8" w:rsidR="00440AB6" w:rsidRDefault="00440AB6" w:rsidP="00440AB6">
      <w:pPr>
        <w:numPr>
          <w:ilvl w:val="0"/>
          <w:numId w:val="8"/>
        </w:numPr>
        <w:rPr>
          <w:rFonts w:ascii="Arial" w:eastAsiaTheme="minorHAnsi" w:hAnsi="Arial" w:cs="Arial"/>
          <w:sz w:val="22"/>
          <w:szCs w:val="22"/>
          <w:lang w:eastAsia="en-US"/>
        </w:rPr>
      </w:pPr>
      <w:r w:rsidRPr="00440AB6">
        <w:rPr>
          <w:rFonts w:ascii="Arial" w:eastAsiaTheme="minorHAnsi" w:hAnsi="Arial" w:cs="Arial"/>
          <w:sz w:val="22"/>
          <w:szCs w:val="22"/>
          <w:lang w:eastAsia="en-US"/>
        </w:rPr>
        <w:t>A higher degree, preferably in a clinical discipline</w:t>
      </w:r>
    </w:p>
    <w:p w14:paraId="63EE5B70" w14:textId="400B46DF" w:rsidR="00883021" w:rsidRPr="00440AB6" w:rsidRDefault="00883021" w:rsidP="00440AB6">
      <w:pPr>
        <w:numPr>
          <w:ilvl w:val="0"/>
          <w:numId w:val="8"/>
        </w:numPr>
        <w:rPr>
          <w:rFonts w:ascii="Arial" w:eastAsiaTheme="minorHAnsi" w:hAnsi="Arial" w:cs="Arial"/>
          <w:sz w:val="22"/>
          <w:szCs w:val="22"/>
          <w:lang w:eastAsia="en-US"/>
        </w:rPr>
      </w:pPr>
      <w:r>
        <w:rPr>
          <w:rFonts w:ascii="Arial" w:eastAsiaTheme="minorHAnsi" w:hAnsi="Arial" w:cs="Arial"/>
          <w:sz w:val="22"/>
          <w:szCs w:val="22"/>
          <w:lang w:eastAsia="en-US"/>
        </w:rPr>
        <w:t>Independent Prescriber</w:t>
      </w:r>
    </w:p>
    <w:p w14:paraId="53599DFE" w14:textId="4474387C" w:rsidR="00440AB6" w:rsidRPr="00440AB6" w:rsidRDefault="00CA5C4A" w:rsidP="00440AB6">
      <w:pPr>
        <w:numPr>
          <w:ilvl w:val="0"/>
          <w:numId w:val="8"/>
        </w:numPr>
        <w:rPr>
          <w:rFonts w:ascii="Arial" w:eastAsiaTheme="minorHAnsi" w:hAnsi="Arial" w:cs="Arial"/>
          <w:sz w:val="22"/>
          <w:szCs w:val="22"/>
          <w:lang w:eastAsia="en-US"/>
        </w:rPr>
      </w:pPr>
      <w:r>
        <w:rPr>
          <w:rFonts w:ascii="Arial" w:eastAsiaTheme="minorHAnsi" w:hAnsi="Arial" w:cs="Arial"/>
          <w:sz w:val="22"/>
          <w:szCs w:val="22"/>
          <w:lang w:eastAsia="en-US"/>
        </w:rPr>
        <w:t>E</w:t>
      </w:r>
      <w:r w:rsidR="00440AB6" w:rsidRPr="00440AB6">
        <w:rPr>
          <w:rFonts w:ascii="Arial" w:eastAsiaTheme="minorHAnsi" w:hAnsi="Arial" w:cs="Arial"/>
          <w:sz w:val="22"/>
          <w:szCs w:val="22"/>
          <w:lang w:eastAsia="en-US"/>
        </w:rPr>
        <w:t>xperience of teaching physical assessment skills as they relate to medicines use</w:t>
      </w:r>
    </w:p>
    <w:p w14:paraId="3A67A8E2" w14:textId="77777777" w:rsidR="00D4144A" w:rsidRDefault="00CA5C4A" w:rsidP="00D4144A">
      <w:pPr>
        <w:numPr>
          <w:ilvl w:val="0"/>
          <w:numId w:val="8"/>
        </w:numPr>
        <w:rPr>
          <w:rFonts w:ascii="Arial" w:eastAsiaTheme="minorHAnsi" w:hAnsi="Arial" w:cs="Arial"/>
          <w:sz w:val="22"/>
          <w:szCs w:val="22"/>
          <w:lang w:eastAsia="en-US"/>
        </w:rPr>
      </w:pPr>
      <w:r>
        <w:rPr>
          <w:rFonts w:ascii="Arial" w:eastAsiaTheme="minorHAnsi" w:hAnsi="Arial" w:cs="Arial"/>
          <w:sz w:val="22"/>
          <w:szCs w:val="22"/>
          <w:lang w:eastAsia="en-US"/>
        </w:rPr>
        <w:t>T</w:t>
      </w:r>
      <w:r w:rsidR="00440AB6" w:rsidRPr="00440AB6">
        <w:rPr>
          <w:rFonts w:ascii="Arial" w:eastAsiaTheme="minorHAnsi" w:hAnsi="Arial" w:cs="Arial"/>
          <w:sz w:val="22"/>
          <w:szCs w:val="22"/>
          <w:lang w:eastAsia="en-US"/>
        </w:rPr>
        <w:t>rack record of publications or other appropriate outputs (equal to relevant career stage) and the potential to establish / continue a credible research programme at Brighton.</w:t>
      </w:r>
      <w:bookmarkStart w:id="0" w:name="_Hlk64555502"/>
    </w:p>
    <w:p w14:paraId="7C425662" w14:textId="58A12DD2" w:rsidR="00C017FD" w:rsidRPr="00D4144A" w:rsidRDefault="00C017FD" w:rsidP="00D4144A">
      <w:pPr>
        <w:numPr>
          <w:ilvl w:val="0"/>
          <w:numId w:val="8"/>
        </w:numPr>
        <w:rPr>
          <w:rFonts w:ascii="Arial" w:eastAsiaTheme="minorHAnsi" w:hAnsi="Arial" w:cs="Arial"/>
          <w:sz w:val="20"/>
          <w:szCs w:val="20"/>
          <w:lang w:eastAsia="en-US"/>
        </w:rPr>
      </w:pPr>
      <w:r w:rsidRPr="00D4144A">
        <w:rPr>
          <w:rFonts w:ascii="Arial" w:hAnsi="Arial" w:cs="Arial"/>
          <w:sz w:val="22"/>
          <w:szCs w:val="22"/>
        </w:rPr>
        <w:t>Postgraduate certificate in Higher Education or equivalent and/or Fellowship of the Higher Education Academy (HEA) or a willingness to obtain PG cert and/or HEA Fellowship status within two years of appointment</w:t>
      </w:r>
      <w:bookmarkEnd w:id="0"/>
      <w:r w:rsidRPr="00D4144A">
        <w:rPr>
          <w:rFonts w:ascii="Arial" w:hAnsi="Arial" w:cs="Arial"/>
          <w:sz w:val="22"/>
          <w:szCs w:val="22"/>
        </w:rPr>
        <w:t xml:space="preserve">  </w:t>
      </w:r>
    </w:p>
    <w:p w14:paraId="60C7E4C7" w14:textId="77777777" w:rsidR="00440AB6" w:rsidRPr="00440AB6" w:rsidRDefault="00440AB6" w:rsidP="00C017FD">
      <w:pPr>
        <w:rPr>
          <w:rFonts w:ascii="Arial" w:eastAsiaTheme="minorHAnsi" w:hAnsi="Arial" w:cs="Arial"/>
          <w:sz w:val="22"/>
          <w:szCs w:val="22"/>
          <w:lang w:eastAsia="en-US"/>
        </w:rPr>
      </w:pPr>
    </w:p>
    <w:p w14:paraId="3CBA4794" w14:textId="77777777" w:rsidR="00EF3A59" w:rsidRPr="005334EE" w:rsidRDefault="00EF3A59" w:rsidP="00EF3A59">
      <w:pPr>
        <w:rPr>
          <w:rFonts w:ascii="Arial" w:hAnsi="Arial" w:cs="Arial"/>
          <w:sz w:val="22"/>
          <w:szCs w:val="22"/>
        </w:rPr>
      </w:pPr>
      <w:r w:rsidRPr="005334EE">
        <w:rPr>
          <w:rFonts w:ascii="Arial" w:hAnsi="Arial" w:cs="Arial"/>
          <w:sz w:val="22"/>
          <w:szCs w:val="22"/>
        </w:rPr>
        <w:t xml:space="preserve">General information relating to the typical roles of a lecturer and senior lecturer are provided below. </w:t>
      </w:r>
    </w:p>
    <w:p w14:paraId="5158DD52" w14:textId="77777777" w:rsidR="00EF3A59" w:rsidRPr="0007090C" w:rsidRDefault="00EF3A59" w:rsidP="00EF3A59">
      <w:pPr>
        <w:rPr>
          <w:rFonts w:ascii="Arial" w:hAnsi="Arial" w:cs="Arial"/>
        </w:rPr>
      </w:pPr>
    </w:p>
    <w:p w14:paraId="592F637C" w14:textId="77777777" w:rsidR="00EF3A59" w:rsidRPr="0007090C" w:rsidRDefault="00EF3A59" w:rsidP="00EF3A59">
      <w:pPr>
        <w:rPr>
          <w:rFonts w:ascii="Arial" w:hAnsi="Arial" w:cs="Arial"/>
        </w:rPr>
      </w:pPr>
    </w:p>
    <w:p w14:paraId="0A087DF1" w14:textId="77777777" w:rsidR="00EF3A59" w:rsidRDefault="00EF3A59" w:rsidP="00EF3A59">
      <w:pPr>
        <w:rPr>
          <w:rFonts w:ascii="Arial" w:hAnsi="Arial" w:cs="Arial"/>
          <w:b/>
        </w:rPr>
      </w:pPr>
      <w:r w:rsidRPr="0007090C">
        <w:rPr>
          <w:rFonts w:ascii="Arial" w:hAnsi="Arial" w:cs="Arial"/>
          <w:b/>
          <w:noProof/>
        </w:rPr>
        <w:drawing>
          <wp:inline distT="0" distB="0" distL="0" distR="0" wp14:anchorId="14F45272" wp14:editId="7C0B897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3">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02D43DA1" w14:textId="77777777" w:rsidR="00EF3A59" w:rsidRPr="0007090C" w:rsidRDefault="00EF3A59" w:rsidP="00EF3A59">
      <w:pPr>
        <w:rPr>
          <w:rFonts w:ascii="Arial" w:hAnsi="Arial" w:cs="Arial"/>
          <w:b/>
        </w:rPr>
      </w:pPr>
    </w:p>
    <w:p w14:paraId="234CEA02" w14:textId="77777777" w:rsidR="00EF3A59" w:rsidRPr="0007090C" w:rsidRDefault="00EF3A59" w:rsidP="00EF3A59">
      <w:pPr>
        <w:pStyle w:val="ListParagraph"/>
        <w:widowControl w:val="0"/>
        <w:numPr>
          <w:ilvl w:val="0"/>
          <w:numId w:val="8"/>
        </w:numPr>
        <w:ind w:hanging="720"/>
        <w:rPr>
          <w:rFonts w:ascii="Arial" w:hAnsi="Arial" w:cs="Arial"/>
        </w:rPr>
      </w:pPr>
      <w:r w:rsidRPr="0007090C">
        <w:rPr>
          <w:rFonts w:ascii="Arial" w:hAnsi="Arial" w:cs="Arial"/>
        </w:rPr>
        <w:t xml:space="preserve">The successful candidate may be required to teach across the range of courses delivered by the School of </w:t>
      </w:r>
      <w:r>
        <w:rPr>
          <w:rFonts w:ascii="Arial" w:hAnsi="Arial" w:cs="Arial"/>
        </w:rPr>
        <w:t xml:space="preserve">Applied </w:t>
      </w:r>
      <w:r w:rsidRPr="0007090C">
        <w:rPr>
          <w:rFonts w:ascii="Arial" w:hAnsi="Arial" w:cs="Arial"/>
        </w:rPr>
        <w:t xml:space="preserve">Sciences at the Moulsecoomb campus in Brighton.  They may also be asked to teach into other courses, such as Medicine and Non-Medical Prescribing, usually delivered at the Falmer campus in Brighton.  </w:t>
      </w:r>
    </w:p>
    <w:p w14:paraId="58BA221F" w14:textId="77777777" w:rsidR="00EF3A59" w:rsidRPr="004032F3" w:rsidRDefault="00EF3A59" w:rsidP="00EF3A59">
      <w:pPr>
        <w:pStyle w:val="ListParagraph"/>
        <w:widowControl w:val="0"/>
        <w:numPr>
          <w:ilvl w:val="0"/>
          <w:numId w:val="8"/>
        </w:numPr>
        <w:ind w:hanging="720"/>
        <w:rPr>
          <w:rFonts w:ascii="Arial" w:hAnsi="Arial" w:cs="Arial"/>
        </w:rPr>
      </w:pPr>
      <w:r>
        <w:rPr>
          <w:rFonts w:ascii="Arial" w:hAnsi="Arial" w:cs="Arial"/>
        </w:rPr>
        <w:t>T</w:t>
      </w:r>
      <w:r w:rsidRPr="0007090C">
        <w:rPr>
          <w:rFonts w:ascii="Arial" w:hAnsi="Arial" w:cs="Arial"/>
        </w:rPr>
        <w:t xml:space="preserve">he University run a number of internal funding schemes to help pump-prime research.  The School encourages Continuing Professional Development to support learning and teaching.  Staff can access training courses through the </w:t>
      </w:r>
      <w:r>
        <w:rPr>
          <w:rFonts w:ascii="Arial" w:hAnsi="Arial" w:cs="Arial"/>
        </w:rPr>
        <w:t xml:space="preserve">Learning and Teaching Hub </w:t>
      </w:r>
      <w:r w:rsidRPr="0007090C">
        <w:rPr>
          <w:rFonts w:ascii="Arial" w:hAnsi="Arial" w:cs="Arial"/>
        </w:rPr>
        <w:t>and are encouraged to attend events such as the University’s annual Learning and Teaching Conference.  Staff development is also supported by course leaders, research group leaders and through research mentorship.  Teaching and research activities are supported by approximately 40 technical and administrative staff in the School.</w:t>
      </w:r>
    </w:p>
    <w:p w14:paraId="77BBF678" w14:textId="77777777" w:rsidR="00EF3A59" w:rsidRPr="0007090C" w:rsidRDefault="00EF3A59" w:rsidP="00EF3A59">
      <w:pPr>
        <w:pStyle w:val="ListParagraph"/>
        <w:widowControl w:val="0"/>
        <w:numPr>
          <w:ilvl w:val="0"/>
          <w:numId w:val="8"/>
        </w:numPr>
        <w:ind w:hanging="720"/>
        <w:rPr>
          <w:rFonts w:ascii="Arial" w:hAnsi="Arial" w:cs="Arial"/>
        </w:rPr>
      </w:pPr>
      <w:r>
        <w:rPr>
          <w:rFonts w:ascii="Arial" w:hAnsi="Arial" w:cs="Arial"/>
        </w:rPr>
        <w:lastRenderedPageBreak/>
        <w:t>W</w:t>
      </w:r>
      <w:r w:rsidRPr="0007090C">
        <w:rPr>
          <w:rFonts w:ascii="Arial" w:hAnsi="Arial" w:cs="Arial"/>
        </w:rPr>
        <w:t xml:space="preserve">e would consider job share or part-time applications to support portfolio working, especially clinicians who wish to continue to provide a clinical commitment in their specialist area of practice. </w:t>
      </w:r>
    </w:p>
    <w:p w14:paraId="00EB596D" w14:textId="77777777" w:rsidR="00EF3A59" w:rsidRPr="0007090C" w:rsidRDefault="00EF3A59" w:rsidP="00EF3A59">
      <w:pPr>
        <w:pStyle w:val="ListParagraph"/>
        <w:widowControl w:val="0"/>
        <w:numPr>
          <w:ilvl w:val="0"/>
          <w:numId w:val="8"/>
        </w:numPr>
        <w:ind w:hanging="720"/>
        <w:rPr>
          <w:rFonts w:ascii="Arial" w:hAnsi="Arial" w:cs="Arial"/>
        </w:rPr>
      </w:pPr>
      <w:r w:rsidRPr="0007090C">
        <w:rPr>
          <w:rFonts w:ascii="Arial" w:hAnsi="Arial" w:cs="Arial"/>
        </w:rPr>
        <w:t>The appointment is generally made to the salary scale to reflect previous experience and salary.</w:t>
      </w:r>
    </w:p>
    <w:p w14:paraId="5FD25993" w14:textId="77777777" w:rsidR="00EF3A59" w:rsidRPr="0007090C" w:rsidRDefault="00EF3A59" w:rsidP="00EF3A59">
      <w:pPr>
        <w:pStyle w:val="ListParagraph"/>
        <w:widowControl w:val="0"/>
        <w:numPr>
          <w:ilvl w:val="0"/>
          <w:numId w:val="8"/>
        </w:numPr>
        <w:ind w:hanging="720"/>
        <w:rPr>
          <w:rFonts w:ascii="Arial" w:hAnsi="Arial" w:cs="Arial"/>
        </w:rPr>
      </w:pPr>
      <w:r w:rsidRPr="0007090C">
        <w:rPr>
          <w:rFonts w:ascii="Arial" w:hAnsi="Arial" w:cs="Arial"/>
        </w:rPr>
        <w:t>The annual leave entitlement is 35 working days, pro rata for proportional (part-time staff).  This is in addition to the statutory holidays applicable in England, local discretionary holidays and days when the university is closed in the interests of efficiency.</w:t>
      </w:r>
    </w:p>
    <w:p w14:paraId="23C35856" w14:textId="77777777" w:rsidR="00EF3A59" w:rsidRDefault="00EF3A59" w:rsidP="00EF3A59">
      <w:pPr>
        <w:pStyle w:val="ListParagraph"/>
        <w:widowControl w:val="0"/>
        <w:numPr>
          <w:ilvl w:val="0"/>
          <w:numId w:val="8"/>
        </w:numPr>
        <w:ind w:hanging="720"/>
        <w:rPr>
          <w:rFonts w:ascii="Arial" w:hAnsi="Arial" w:cs="Arial"/>
        </w:rPr>
      </w:pPr>
      <w:r w:rsidRPr="00E63F90">
        <w:rPr>
          <w:rFonts w:ascii="Arial" w:hAnsi="Arial" w:cs="Arial"/>
        </w:rPr>
        <w:t xml:space="preserve">Hours –The full time equivalent of this post is </w:t>
      </w:r>
      <w:r>
        <w:rPr>
          <w:rFonts w:ascii="Arial" w:hAnsi="Arial" w:cs="Arial"/>
        </w:rPr>
        <w:t>1.00.</w:t>
      </w:r>
      <w:r w:rsidRPr="00E63F90">
        <w:rPr>
          <w:rFonts w:ascii="Arial" w:hAnsi="Arial" w:cs="Arial"/>
        </w:rPr>
        <w:t xml:space="preserve"> The nature of teaching posts is such that staff are expected to work such hours as are reasonably necessary in order to fulfil their duties and responsibilities.  It would therefore be inappropriate to define the total hours to be worked in any week. A reasonable norm for full-time staff, however, having regard to the contractual position of other senior staff in the institution, would be thirty-seven, although this should not be regarded as a minimum or maximum.</w:t>
      </w:r>
      <w:r>
        <w:rPr>
          <w:rFonts w:ascii="Arial" w:hAnsi="Arial" w:cs="Arial"/>
        </w:rPr>
        <w:t xml:space="preserve"> </w:t>
      </w:r>
      <w:r w:rsidRPr="00E63F90">
        <w:rPr>
          <w:rFonts w:ascii="Arial" w:hAnsi="Arial" w:cs="Arial"/>
        </w:rPr>
        <w:t>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w:t>
      </w:r>
    </w:p>
    <w:p w14:paraId="1820AAD2" w14:textId="77777777" w:rsidR="00EF3A59" w:rsidRPr="00E8363F" w:rsidRDefault="00EF3A59" w:rsidP="00EF3A59">
      <w:pPr>
        <w:widowControl w:val="0"/>
        <w:rPr>
          <w:rFonts w:ascii="Arial" w:hAnsi="Arial" w:cs="Arial"/>
        </w:rPr>
      </w:pPr>
    </w:p>
    <w:p w14:paraId="3845EA05" w14:textId="77777777" w:rsidR="00EF3A59" w:rsidRPr="0035277F" w:rsidRDefault="00EF3A59" w:rsidP="00EF3A59">
      <w:pPr>
        <w:pStyle w:val="ListParagraph"/>
        <w:numPr>
          <w:ilvl w:val="0"/>
          <w:numId w:val="8"/>
        </w:numPr>
        <w:spacing w:after="0"/>
        <w:ind w:left="360" w:firstLine="698"/>
        <w:rPr>
          <w:rFonts w:ascii="Arial" w:hAnsi="Arial" w:cs="Arial"/>
        </w:rPr>
      </w:pPr>
      <w:r w:rsidRPr="0035277F">
        <w:rPr>
          <w:rFonts w:ascii="Arial" w:hAnsi="Arial" w:cs="Arial"/>
        </w:rPr>
        <w:t>art and design</w:t>
      </w:r>
    </w:p>
    <w:p w14:paraId="6D2F9057" w14:textId="77777777" w:rsidR="00EF3A59" w:rsidRPr="0035277F" w:rsidRDefault="00EF3A59" w:rsidP="00EF3A59">
      <w:pPr>
        <w:pStyle w:val="ListParagraph"/>
        <w:numPr>
          <w:ilvl w:val="0"/>
          <w:numId w:val="8"/>
        </w:numPr>
        <w:spacing w:after="0"/>
        <w:ind w:left="360" w:firstLine="698"/>
        <w:rPr>
          <w:rFonts w:ascii="Arial" w:hAnsi="Arial" w:cs="Arial"/>
        </w:rPr>
      </w:pPr>
      <w:r w:rsidRPr="0035277F">
        <w:rPr>
          <w:rFonts w:ascii="Arial" w:hAnsi="Arial" w:cs="Arial"/>
        </w:rPr>
        <w:t>business/management</w:t>
      </w:r>
    </w:p>
    <w:p w14:paraId="54C1413B" w14:textId="77777777" w:rsidR="00EF3A59" w:rsidRPr="0035277F" w:rsidRDefault="00EF3A59" w:rsidP="00EF3A59">
      <w:pPr>
        <w:pStyle w:val="ListParagraph"/>
        <w:numPr>
          <w:ilvl w:val="0"/>
          <w:numId w:val="8"/>
        </w:numPr>
        <w:spacing w:after="0"/>
        <w:ind w:left="360" w:firstLine="698"/>
        <w:rPr>
          <w:rFonts w:ascii="Arial" w:hAnsi="Arial" w:cs="Arial"/>
        </w:rPr>
      </w:pPr>
      <w:r w:rsidRPr="0035277F">
        <w:rPr>
          <w:rFonts w:ascii="Arial" w:hAnsi="Arial" w:cs="Arial"/>
        </w:rPr>
        <w:t>health - clinically related subjects</w:t>
      </w:r>
    </w:p>
    <w:p w14:paraId="14F0565E" w14:textId="77777777" w:rsidR="00EF3A59" w:rsidRPr="0035277F" w:rsidRDefault="00EF3A59" w:rsidP="00EF3A59">
      <w:pPr>
        <w:pStyle w:val="ListParagraph"/>
        <w:numPr>
          <w:ilvl w:val="0"/>
          <w:numId w:val="8"/>
        </w:numPr>
        <w:spacing w:after="0"/>
        <w:ind w:left="360" w:firstLine="698"/>
        <w:rPr>
          <w:rFonts w:ascii="Arial" w:hAnsi="Arial" w:cs="Arial"/>
        </w:rPr>
      </w:pPr>
      <w:r w:rsidRPr="0035277F">
        <w:rPr>
          <w:rFonts w:ascii="Arial" w:hAnsi="Arial" w:cs="Arial"/>
        </w:rPr>
        <w:t>construction management</w:t>
      </w:r>
    </w:p>
    <w:p w14:paraId="632E1722" w14:textId="77777777" w:rsidR="00EF3A59" w:rsidRDefault="00EF3A59" w:rsidP="00EF3A59">
      <w:pPr>
        <w:pStyle w:val="ListParagraph"/>
        <w:widowControl w:val="0"/>
        <w:rPr>
          <w:rFonts w:ascii="Arial" w:hAnsi="Arial" w:cs="Arial"/>
        </w:rPr>
      </w:pPr>
      <w:r w:rsidRPr="0035277F">
        <w:rPr>
          <w:rFonts w:ascii="Arial" w:hAnsi="Arial" w:cs="Arial"/>
        </w:rPr>
        <w:t xml:space="preserve">The </w:t>
      </w:r>
      <w:proofErr w:type="gramStart"/>
      <w:r w:rsidRPr="0035277F">
        <w:rPr>
          <w:rFonts w:ascii="Arial" w:hAnsi="Arial" w:cs="Arial"/>
        </w:rPr>
        <w:t>550 hour</w:t>
      </w:r>
      <w:proofErr w:type="gramEnd"/>
      <w:r w:rsidRPr="0035277F">
        <w:rPr>
          <w:rFonts w:ascii="Arial" w:hAnsi="Arial" w:cs="Arial"/>
        </w:rPr>
        <w:t xml:space="preserve"> annual maximum will not, however, be exceeded except by mutually agreed overtime.</w:t>
      </w:r>
    </w:p>
    <w:p w14:paraId="7A3A5C06" w14:textId="77777777" w:rsidR="00EF3A59" w:rsidRDefault="00EF3A59" w:rsidP="00EF3A59">
      <w:pPr>
        <w:pStyle w:val="ListParagraph"/>
        <w:spacing w:after="0"/>
        <w:ind w:left="360"/>
        <w:rPr>
          <w:rFonts w:ascii="Arial" w:hAnsi="Arial" w:cs="Arial"/>
        </w:rPr>
      </w:pPr>
    </w:p>
    <w:p w14:paraId="2BE948DE" w14:textId="77777777" w:rsidR="00EF3A59" w:rsidRPr="00E8363F" w:rsidRDefault="00EF3A59" w:rsidP="00EF3A59">
      <w:pPr>
        <w:rPr>
          <w:rFonts w:ascii="Arial" w:hAnsi="Arial" w:cs="Arial"/>
          <w:sz w:val="22"/>
          <w:szCs w:val="22"/>
        </w:rPr>
      </w:pPr>
      <w:r w:rsidRPr="00E8363F">
        <w:rPr>
          <w:rFonts w:ascii="Arial" w:hAnsi="Arial" w:cs="Arial"/>
          <w:sz w:val="22"/>
          <w:szCs w:val="22"/>
        </w:rPr>
        <w:t xml:space="preserve">More information about the university and the school can be found by following the links below: </w:t>
      </w:r>
    </w:p>
    <w:p w14:paraId="2F9D3BB3" w14:textId="77777777" w:rsidR="00EF3A59" w:rsidRDefault="00EF3A59" w:rsidP="00EF3A59"/>
    <w:p w14:paraId="3E080DB5" w14:textId="77777777" w:rsidR="00EF3A59" w:rsidRPr="00E8363F" w:rsidRDefault="00EF3A59" w:rsidP="00EF3A59">
      <w:pPr>
        <w:numPr>
          <w:ilvl w:val="0"/>
          <w:numId w:val="19"/>
        </w:numPr>
        <w:spacing w:after="200" w:line="276" w:lineRule="auto"/>
        <w:contextualSpacing/>
        <w:rPr>
          <w:rFonts w:ascii="Arial" w:eastAsiaTheme="minorHAnsi" w:hAnsi="Arial" w:cs="Arial"/>
          <w:color w:val="0000FF"/>
          <w:sz w:val="22"/>
          <w:szCs w:val="22"/>
          <w:u w:val="single"/>
          <w:lang w:eastAsia="en-US"/>
        </w:rPr>
      </w:pPr>
      <w:hyperlink r:id="rId14" w:history="1">
        <w:r w:rsidRPr="00E8363F">
          <w:rPr>
            <w:rFonts w:ascii="Arial" w:eastAsiaTheme="minorHAnsi" w:hAnsi="Arial" w:cs="Arial"/>
            <w:color w:val="0000FF"/>
            <w:sz w:val="22"/>
            <w:szCs w:val="22"/>
            <w:u w:val="single"/>
            <w:lang w:eastAsia="en-US"/>
          </w:rPr>
          <w:t>Academic departments</w:t>
        </w:r>
      </w:hyperlink>
      <w:r w:rsidRPr="00E8363F">
        <w:rPr>
          <w:rFonts w:ascii="Arial" w:eastAsiaTheme="minorHAnsi" w:hAnsi="Arial" w:cs="Arial"/>
          <w:color w:val="0000FF"/>
          <w:sz w:val="22"/>
          <w:szCs w:val="22"/>
          <w:u w:val="single"/>
          <w:lang w:eastAsia="en-US"/>
        </w:rPr>
        <w:t xml:space="preserve"> </w:t>
      </w:r>
    </w:p>
    <w:p w14:paraId="56029DC3" w14:textId="77777777" w:rsidR="00EF3A59" w:rsidRPr="001A2EF7" w:rsidRDefault="00EF3A59" w:rsidP="00EF3A59">
      <w:pPr>
        <w:numPr>
          <w:ilvl w:val="0"/>
          <w:numId w:val="19"/>
        </w:numPr>
        <w:spacing w:after="200" w:line="276" w:lineRule="auto"/>
        <w:contextualSpacing/>
        <w:rPr>
          <w:rFonts w:ascii="Arial" w:eastAsiaTheme="minorHAnsi" w:hAnsi="Arial" w:cs="Arial"/>
          <w:color w:val="0000FF"/>
          <w:sz w:val="22"/>
          <w:szCs w:val="22"/>
          <w:u w:val="single"/>
          <w:lang w:eastAsia="en-US"/>
        </w:rPr>
      </w:pPr>
      <w:hyperlink r:id="rId15" w:history="1">
        <w:r w:rsidRPr="001A2EF7">
          <w:rPr>
            <w:rFonts w:ascii="Arial" w:eastAsiaTheme="minorHAnsi" w:hAnsi="Arial" w:cs="Arial"/>
            <w:color w:val="0000FF"/>
            <w:sz w:val="22"/>
            <w:szCs w:val="22"/>
            <w:u w:val="single"/>
            <w:lang w:eastAsia="en-US"/>
          </w:rPr>
          <w:t>Research and Enterprise at the University</w:t>
        </w:r>
      </w:hyperlink>
      <w:r w:rsidRPr="001A2EF7">
        <w:rPr>
          <w:rFonts w:ascii="Arial" w:eastAsiaTheme="minorHAnsi" w:hAnsi="Arial" w:cs="Arial"/>
          <w:color w:val="0000FF"/>
          <w:sz w:val="22"/>
          <w:szCs w:val="22"/>
          <w:u w:val="single"/>
          <w:lang w:eastAsia="en-US"/>
        </w:rPr>
        <w:t xml:space="preserve"> </w:t>
      </w:r>
    </w:p>
    <w:p w14:paraId="3D6B26D8" w14:textId="77777777" w:rsidR="00EF3A59" w:rsidRPr="001A2EF7" w:rsidRDefault="00EF3A59" w:rsidP="00EF3A59">
      <w:pPr>
        <w:numPr>
          <w:ilvl w:val="0"/>
          <w:numId w:val="19"/>
        </w:numPr>
        <w:spacing w:after="200" w:line="276" w:lineRule="auto"/>
        <w:contextualSpacing/>
        <w:rPr>
          <w:rFonts w:ascii="Arial" w:eastAsiaTheme="minorHAnsi" w:hAnsi="Arial" w:cs="Arial"/>
          <w:color w:val="0000FF"/>
          <w:sz w:val="22"/>
          <w:szCs w:val="22"/>
          <w:u w:val="single"/>
          <w:lang w:eastAsia="en-US"/>
        </w:rPr>
      </w:pPr>
      <w:hyperlink r:id="rId16" w:history="1">
        <w:r w:rsidRPr="001A2EF7">
          <w:rPr>
            <w:rFonts w:ascii="Arial" w:eastAsiaTheme="minorHAnsi" w:hAnsi="Arial" w:cs="Arial"/>
            <w:color w:val="0000FF"/>
            <w:sz w:val="22"/>
            <w:szCs w:val="22"/>
            <w:u w:val="single"/>
            <w:lang w:eastAsia="en-US"/>
          </w:rPr>
          <w:t>Professional services departments</w:t>
        </w:r>
      </w:hyperlink>
    </w:p>
    <w:p w14:paraId="52BE009D" w14:textId="77777777" w:rsidR="00EF3A59" w:rsidRPr="004032F3" w:rsidRDefault="00EF3A59" w:rsidP="00EF3A59">
      <w:pPr>
        <w:numPr>
          <w:ilvl w:val="0"/>
          <w:numId w:val="19"/>
        </w:numPr>
        <w:spacing w:after="200" w:line="276" w:lineRule="auto"/>
        <w:contextualSpacing/>
        <w:rPr>
          <w:rStyle w:val="Hyperlink"/>
          <w:rFonts w:ascii="Arial" w:hAnsi="Arial" w:cs="Arial"/>
          <w:color w:val="auto"/>
          <w:u w:val="none"/>
        </w:rPr>
      </w:pPr>
      <w:r w:rsidRPr="004032F3">
        <w:rPr>
          <w:rFonts w:ascii="Arial" w:eastAsiaTheme="minorHAnsi" w:hAnsi="Arial" w:cs="Arial"/>
          <w:sz w:val="22"/>
          <w:szCs w:val="22"/>
          <w:lang w:eastAsia="en-US"/>
        </w:rPr>
        <w:t xml:space="preserve">University’s </w:t>
      </w:r>
      <w:hyperlink r:id="rId17" w:history="1">
        <w:r>
          <w:rPr>
            <w:rStyle w:val="Hyperlink"/>
            <w:rFonts w:ascii="Arial" w:hAnsi="Arial" w:cs="Arial"/>
          </w:rPr>
          <w:t>2019-2025 Strategy</w:t>
        </w:r>
      </w:hyperlink>
    </w:p>
    <w:p w14:paraId="5E2A6033" w14:textId="77777777" w:rsidR="00EF3A59" w:rsidRPr="004032F3" w:rsidRDefault="00EF3A59" w:rsidP="00EF3A59">
      <w:pPr>
        <w:spacing w:after="200" w:line="276" w:lineRule="auto"/>
        <w:ind w:left="1080"/>
        <w:contextualSpacing/>
        <w:rPr>
          <w:rFonts w:ascii="Arial" w:hAnsi="Arial" w:cs="Arial"/>
        </w:rPr>
      </w:pPr>
    </w:p>
    <w:p w14:paraId="1AB96437" w14:textId="77777777" w:rsidR="00EF3A59" w:rsidRPr="001A2EF7" w:rsidRDefault="00EF3A59" w:rsidP="00EF3A59">
      <w:pPr>
        <w:rPr>
          <w:rFonts w:ascii="Arial" w:hAnsi="Arial" w:cs="Arial"/>
          <w:sz w:val="22"/>
          <w:szCs w:val="22"/>
        </w:rPr>
      </w:pPr>
      <w:r w:rsidRPr="001A2EF7">
        <w:rPr>
          <w:rFonts w:ascii="Arial" w:hAnsi="Arial" w:cs="Arial"/>
          <w:sz w:val="22"/>
          <w:szCs w:val="22"/>
        </w:rPr>
        <w:t xml:space="preserve">The University has an attractive range of benefits and you can find more information in the </w:t>
      </w:r>
      <w:hyperlink r:id="rId18" w:history="1">
        <w:r w:rsidRPr="001A2EF7">
          <w:rPr>
            <w:rStyle w:val="Hyperlink"/>
            <w:rFonts w:ascii="Arial" w:hAnsi="Arial" w:cs="Arial"/>
            <w:sz w:val="22"/>
            <w:szCs w:val="22"/>
          </w:rPr>
          <w:t>Working here</w:t>
        </w:r>
      </w:hyperlink>
      <w:r w:rsidRPr="001A2EF7">
        <w:rPr>
          <w:rFonts w:ascii="Arial" w:hAnsi="Arial" w:cs="Arial"/>
          <w:sz w:val="22"/>
          <w:szCs w:val="22"/>
        </w:rPr>
        <w:t xml:space="preserve"> section of our website which includes information on </w:t>
      </w:r>
      <w:hyperlink r:id="rId19" w:history="1">
        <w:r w:rsidRPr="001A2EF7">
          <w:rPr>
            <w:rStyle w:val="Hyperlink"/>
            <w:rFonts w:ascii="Arial" w:hAnsi="Arial" w:cs="Arial"/>
            <w:sz w:val="22"/>
            <w:szCs w:val="22"/>
          </w:rPr>
          <w:t>Equality, diversity and inclusion</w:t>
        </w:r>
      </w:hyperlink>
      <w:r w:rsidRPr="001A2EF7">
        <w:rPr>
          <w:rFonts w:ascii="Arial" w:hAnsi="Arial" w:cs="Arial"/>
          <w:sz w:val="22"/>
          <w:szCs w:val="22"/>
        </w:rPr>
        <w:t xml:space="preserve"> and </w:t>
      </w:r>
      <w:hyperlink r:id="rId20" w:history="1">
        <w:r w:rsidRPr="001A2EF7">
          <w:rPr>
            <w:rStyle w:val="Hyperlink"/>
            <w:rFonts w:ascii="Arial" w:hAnsi="Arial" w:cs="Arial"/>
            <w:sz w:val="22"/>
            <w:szCs w:val="22"/>
          </w:rPr>
          <w:t>Benefits and facilities</w:t>
        </w:r>
      </w:hyperlink>
      <w:r w:rsidRPr="001A2EF7">
        <w:rPr>
          <w:rFonts w:ascii="Arial" w:hAnsi="Arial" w:cs="Arial"/>
          <w:sz w:val="22"/>
          <w:szCs w:val="22"/>
        </w:rPr>
        <w:t>.</w:t>
      </w:r>
    </w:p>
    <w:p w14:paraId="554643BB" w14:textId="77777777" w:rsidR="00EF3A59" w:rsidRDefault="00EF3A59" w:rsidP="00EF3A59">
      <w:pPr>
        <w:widowControl w:val="0"/>
        <w:rPr>
          <w:rFonts w:ascii="Arial" w:hAnsi="Arial" w:cs="Arial"/>
          <w:highlight w:val="cyan"/>
        </w:rPr>
      </w:pPr>
    </w:p>
    <w:p w14:paraId="03A14E27" w14:textId="77777777" w:rsidR="00EF3A59" w:rsidRPr="001A2EF7" w:rsidRDefault="00EF3A59" w:rsidP="00EF3A59">
      <w:pPr>
        <w:widowControl w:val="0"/>
        <w:rPr>
          <w:rFonts w:ascii="Arial" w:hAnsi="Arial" w:cs="Arial"/>
          <w:highlight w:val="cyan"/>
        </w:rPr>
      </w:pPr>
      <w:r w:rsidRPr="001A2EF7">
        <w:rPr>
          <w:rFonts w:ascii="Arial" w:hAnsi="Arial" w:cs="Arial"/>
          <w:b/>
          <w:sz w:val="22"/>
          <w:szCs w:val="22"/>
        </w:rPr>
        <w:t>Job sharing</w:t>
      </w:r>
      <w:r w:rsidRPr="001A2EF7">
        <w:rPr>
          <w:rFonts w:ascii="Arial" w:hAnsi="Arial" w:cs="Arial"/>
          <w:sz w:val="22"/>
          <w:szCs w:val="22"/>
        </w:rPr>
        <w:t xml:space="preserve"> </w:t>
      </w:r>
    </w:p>
    <w:p w14:paraId="5E3FF340" w14:textId="77777777" w:rsidR="00EF3A59" w:rsidRPr="0007090C" w:rsidRDefault="00EF3A59" w:rsidP="00EF3A59">
      <w:pPr>
        <w:widowControl w:val="0"/>
        <w:tabs>
          <w:tab w:val="left" w:pos="2736"/>
        </w:tabs>
        <w:ind w:left="2194" w:hanging="2194"/>
        <w:rPr>
          <w:rFonts w:ascii="Arial" w:hAnsi="Arial" w:cs="Arial"/>
        </w:rPr>
      </w:pPr>
      <w:r w:rsidRPr="0007090C">
        <w:rPr>
          <w:rFonts w:ascii="Arial" w:hAnsi="Arial" w:cs="Arial"/>
        </w:rPr>
        <w:tab/>
      </w:r>
    </w:p>
    <w:p w14:paraId="5663CA38" w14:textId="77777777" w:rsidR="00EF3A59" w:rsidRPr="001A2EF7" w:rsidRDefault="00EF3A59" w:rsidP="00EF3A59">
      <w:pPr>
        <w:widowControl w:val="0"/>
        <w:tabs>
          <w:tab w:val="left" w:pos="2736"/>
        </w:tabs>
        <w:rPr>
          <w:rFonts w:ascii="Arial" w:hAnsi="Arial" w:cs="Arial"/>
          <w:sz w:val="22"/>
          <w:szCs w:val="22"/>
        </w:rPr>
      </w:pPr>
      <w:r w:rsidRPr="001A2EF7">
        <w:rPr>
          <w:rFonts w:ascii="Arial" w:hAnsi="Arial" w:cs="Arial"/>
          <w:sz w:val="22"/>
          <w:szCs w:val="22"/>
        </w:rPr>
        <w:t xml:space="preserve">The University of Brighton welcomes job sharers. Job sharing is a way of working where two people share one full-time job, dividing the work, responsibilities, pay, holidays and other benefits between them proportionate to the hours each works, thereby increasing access to a wide range of jobs on a part-time basis.  The advert for the post for which you are applying </w:t>
      </w:r>
      <w:r w:rsidRPr="001A2EF7">
        <w:rPr>
          <w:rFonts w:ascii="Arial" w:hAnsi="Arial" w:cs="Arial"/>
          <w:sz w:val="22"/>
          <w:szCs w:val="22"/>
        </w:rPr>
        <w:lastRenderedPageBreak/>
        <w:t xml:space="preserve">will indicate whether applications from job sharers can be considered (this may not be possible for a post that is already part time for example) and further information can be found on the ‘Balancing Working Life’ section here </w:t>
      </w:r>
      <w:hyperlink r:id="rId21" w:history="1">
        <w:r w:rsidRPr="001A2EF7">
          <w:rPr>
            <w:rStyle w:val="Hyperlink"/>
            <w:rFonts w:ascii="Arial" w:hAnsi="Arial" w:cs="Arial"/>
            <w:sz w:val="22"/>
            <w:szCs w:val="22"/>
          </w:rPr>
          <w:t>Benefits and facilities</w:t>
        </w:r>
      </w:hyperlink>
      <w:r w:rsidRPr="001A2EF7">
        <w:rPr>
          <w:rFonts w:ascii="Arial" w:hAnsi="Arial" w:cs="Arial"/>
          <w:sz w:val="22"/>
          <w:szCs w:val="22"/>
        </w:rPr>
        <w:t>.</w:t>
      </w:r>
    </w:p>
    <w:p w14:paraId="4D51BCBB" w14:textId="77777777" w:rsidR="00EF3A59" w:rsidRPr="00CC2103" w:rsidRDefault="00EF3A59" w:rsidP="00EF3A59">
      <w:pPr>
        <w:pStyle w:val="Heading2"/>
        <w:rPr>
          <w:i w:val="0"/>
          <w:sz w:val="22"/>
          <w:szCs w:val="22"/>
        </w:rPr>
      </w:pPr>
      <w:r w:rsidRPr="00CC2103">
        <w:rPr>
          <w:i w:val="0"/>
          <w:sz w:val="22"/>
          <w:szCs w:val="22"/>
        </w:rPr>
        <w:t xml:space="preserve">Professional development/teaching  </w:t>
      </w:r>
    </w:p>
    <w:p w14:paraId="53C22B79" w14:textId="77777777" w:rsidR="00EF3A59" w:rsidRPr="004032F3" w:rsidRDefault="00EF3A59" w:rsidP="00EF3A59">
      <w:pPr>
        <w:rPr>
          <w:rFonts w:ascii="Arial" w:hAnsi="Arial" w:cs="Arial"/>
          <w:sz w:val="22"/>
          <w:szCs w:val="22"/>
        </w:rPr>
      </w:pPr>
      <w:r w:rsidRPr="004032F3">
        <w:rPr>
          <w:rFonts w:ascii="Arial" w:hAnsi="Arial" w:cs="Arial"/>
          <w:sz w:val="22"/>
          <w:szCs w:val="22"/>
        </w:rPr>
        <w:t xml:space="preserve">A </w:t>
      </w:r>
      <w:proofErr w:type="gramStart"/>
      <w:r w:rsidRPr="004032F3">
        <w:rPr>
          <w:rFonts w:ascii="Arial" w:hAnsi="Arial" w:cs="Arial"/>
          <w:sz w:val="22"/>
          <w:szCs w:val="22"/>
        </w:rPr>
        <w:t>part-time courses</w:t>
      </w:r>
      <w:proofErr w:type="gramEnd"/>
      <w:r w:rsidRPr="004032F3">
        <w:rPr>
          <w:rFonts w:ascii="Arial" w:hAnsi="Arial" w:cs="Arial"/>
          <w:sz w:val="22"/>
          <w:szCs w:val="22"/>
        </w:rPr>
        <w:t xml:space="preserve"> is run within the University for staff new to the teaching role.  </w:t>
      </w:r>
    </w:p>
    <w:p w14:paraId="5B0A9D1E" w14:textId="77777777" w:rsidR="00EF3A59" w:rsidRPr="004032F3" w:rsidRDefault="00EF3A59" w:rsidP="00EF3A59">
      <w:pPr>
        <w:rPr>
          <w:rFonts w:ascii="Arial" w:hAnsi="Arial" w:cs="Arial"/>
          <w:sz w:val="22"/>
          <w:szCs w:val="22"/>
        </w:rPr>
      </w:pPr>
    </w:p>
    <w:p w14:paraId="413A71C6" w14:textId="77777777" w:rsidR="00EF3A59" w:rsidRPr="004032F3" w:rsidRDefault="00EF3A59" w:rsidP="00EF3A59">
      <w:pPr>
        <w:widowControl w:val="0"/>
        <w:numPr>
          <w:ilvl w:val="0"/>
          <w:numId w:val="11"/>
        </w:numPr>
        <w:tabs>
          <w:tab w:val="clear" w:pos="2880"/>
        </w:tabs>
        <w:spacing w:line="240" w:lineRule="atLeast"/>
        <w:ind w:left="426" w:hanging="426"/>
        <w:rPr>
          <w:rFonts w:ascii="Arial" w:hAnsi="Arial" w:cs="Arial"/>
          <w:sz w:val="22"/>
          <w:szCs w:val="22"/>
        </w:rPr>
      </w:pPr>
      <w:r w:rsidRPr="004032F3">
        <w:rPr>
          <w:rFonts w:ascii="Arial" w:hAnsi="Arial" w:cs="Arial"/>
          <w:sz w:val="22"/>
          <w:szCs w:val="22"/>
        </w:rPr>
        <w:t>The Postgraduate Certificate in Learning and Teaching in Higher Education (run by the Centre for Learning and Teaching, and designed for staff in all schools and faculties);</w:t>
      </w:r>
    </w:p>
    <w:p w14:paraId="7A2B85A7" w14:textId="77777777" w:rsidR="00EF3A59" w:rsidRPr="00EB0C90" w:rsidRDefault="00EF3A59" w:rsidP="00EF3A59">
      <w:pPr>
        <w:widowControl w:val="0"/>
        <w:spacing w:line="240" w:lineRule="atLeast"/>
        <w:rPr>
          <w:rFonts w:ascii="Arial" w:hAnsi="Arial" w:cs="Arial"/>
        </w:rPr>
      </w:pPr>
    </w:p>
    <w:p w14:paraId="72B357DE" w14:textId="77777777" w:rsidR="00EF3A59" w:rsidRPr="001A2EF7" w:rsidRDefault="00EF3A59" w:rsidP="00EF3A59">
      <w:pPr>
        <w:widowControl w:val="0"/>
        <w:spacing w:line="240" w:lineRule="atLeast"/>
        <w:rPr>
          <w:rFonts w:ascii="Arial" w:hAnsi="Arial" w:cs="Arial"/>
          <w:sz w:val="22"/>
          <w:szCs w:val="22"/>
        </w:rPr>
      </w:pPr>
      <w:r w:rsidRPr="001A2EF7">
        <w:rPr>
          <w:rFonts w:ascii="Arial" w:hAnsi="Arial" w:cs="Arial"/>
          <w:sz w:val="22"/>
          <w:szCs w:val="22"/>
        </w:rPr>
        <w:t xml:space="preserve">All new lecturers with little or no previous experience of teaching in Higher Education, who have not undertaken an equivalent course of study and training, are expected to take one of the courses listed above in their first or second year in post.  The courses provide opportunities to explore a range of practical approaches to supporting students’ learning, and to reflect upon the process of developing as a teacher.  By negotiation with the relevant </w:t>
      </w:r>
      <w:r>
        <w:rPr>
          <w:rFonts w:ascii="Arial" w:hAnsi="Arial" w:cs="Arial"/>
          <w:sz w:val="22"/>
          <w:szCs w:val="22"/>
        </w:rPr>
        <w:t>Dean</w:t>
      </w:r>
      <w:r w:rsidRPr="001A2EF7">
        <w:rPr>
          <w:rFonts w:ascii="Arial" w:hAnsi="Arial" w:cs="Arial"/>
          <w:sz w:val="22"/>
          <w:szCs w:val="22"/>
        </w:rPr>
        <w:t xml:space="preserve"> of School, teaching timetables are adjusted to enable the new lecturer to participate effectively in the course.  The course is accredited by the Higher Education Academy, the national professional body for teachers in Higher Education, and successful completion normally leads to professional recognition as a Fellow of the Higher Education Academy.</w:t>
      </w:r>
    </w:p>
    <w:p w14:paraId="653ED7C2" w14:textId="77777777" w:rsidR="00EF3A59" w:rsidRPr="001A2EF7" w:rsidRDefault="00EF3A59" w:rsidP="00EF3A59">
      <w:pPr>
        <w:widowControl w:val="0"/>
        <w:spacing w:line="240" w:lineRule="atLeast"/>
        <w:ind w:left="426"/>
        <w:rPr>
          <w:rFonts w:ascii="Arial" w:hAnsi="Arial" w:cs="Arial"/>
          <w:sz w:val="22"/>
          <w:szCs w:val="22"/>
        </w:rPr>
      </w:pPr>
    </w:p>
    <w:p w14:paraId="36E80DE9" w14:textId="77777777" w:rsidR="00EF3A59" w:rsidRPr="001A2EF7" w:rsidRDefault="00EF3A59" w:rsidP="00EF3A59">
      <w:pPr>
        <w:widowControl w:val="0"/>
        <w:spacing w:line="240" w:lineRule="atLeast"/>
        <w:rPr>
          <w:rFonts w:ascii="Arial" w:hAnsi="Arial" w:cs="Arial"/>
          <w:sz w:val="22"/>
          <w:szCs w:val="22"/>
        </w:rPr>
      </w:pPr>
      <w:r w:rsidRPr="001A2EF7">
        <w:rPr>
          <w:rFonts w:ascii="Arial" w:hAnsi="Arial" w:cs="Arial"/>
          <w:sz w:val="22"/>
          <w:szCs w:val="22"/>
        </w:rPr>
        <w:t>The successful applicant will be provided with further information about these Postgraduate Certificate courses at the time of appointment.</w:t>
      </w:r>
    </w:p>
    <w:p w14:paraId="7F6A74B7" w14:textId="77777777" w:rsidR="00EF3A59" w:rsidRPr="001A2EF7" w:rsidRDefault="00EF3A59" w:rsidP="00EF3A59">
      <w:pPr>
        <w:widowControl w:val="0"/>
        <w:spacing w:line="240" w:lineRule="atLeast"/>
        <w:ind w:left="426"/>
        <w:rPr>
          <w:rFonts w:ascii="Arial" w:hAnsi="Arial" w:cs="Arial"/>
          <w:sz w:val="22"/>
          <w:szCs w:val="22"/>
        </w:rPr>
      </w:pPr>
    </w:p>
    <w:p w14:paraId="320C7EDA" w14:textId="77777777" w:rsidR="00EF3A59" w:rsidRPr="001A2EF7" w:rsidRDefault="00EF3A59" w:rsidP="00EF3A59">
      <w:pPr>
        <w:widowControl w:val="0"/>
        <w:spacing w:line="240" w:lineRule="atLeast"/>
        <w:rPr>
          <w:rFonts w:ascii="Arial" w:hAnsi="Arial" w:cs="Arial"/>
          <w:sz w:val="22"/>
          <w:szCs w:val="22"/>
        </w:rPr>
      </w:pPr>
      <w:r w:rsidRPr="001A2EF7">
        <w:rPr>
          <w:rFonts w:ascii="Arial" w:hAnsi="Arial" w:cs="Arial"/>
          <w:sz w:val="22"/>
          <w:szCs w:val="22"/>
        </w:rPr>
        <w:t xml:space="preserve">In addition to these courses for staff new to the teaching role, the Centre for Learning and Teaching offers a wide range of courses, events and consultancy to experienced lecturers and to course teams and academic schools across the university.  Further information is available here </w:t>
      </w:r>
      <w:hyperlink r:id="rId22" w:history="1">
        <w:r>
          <w:rPr>
            <w:rStyle w:val="Hyperlink"/>
            <w:rFonts w:ascii="Arial" w:hAnsi="Arial" w:cs="Arial"/>
          </w:rPr>
          <w:t>Learning and Teaching Hub</w:t>
        </w:r>
      </w:hyperlink>
      <w:r w:rsidRPr="001A2EF7">
        <w:rPr>
          <w:rFonts w:ascii="Arial" w:hAnsi="Arial" w:cs="Arial"/>
          <w:sz w:val="22"/>
          <w:szCs w:val="22"/>
        </w:rPr>
        <w:t xml:space="preserve">. </w:t>
      </w:r>
    </w:p>
    <w:p w14:paraId="246B3A1A" w14:textId="77777777" w:rsidR="00EF3A59" w:rsidRDefault="00EF3A59" w:rsidP="00EF3A59">
      <w:pPr>
        <w:widowControl w:val="0"/>
        <w:spacing w:line="240" w:lineRule="atLeast"/>
        <w:rPr>
          <w:rFonts w:ascii="Arial" w:hAnsi="Arial" w:cs="Arial"/>
        </w:rPr>
      </w:pPr>
    </w:p>
    <w:p w14:paraId="40A0C72B" w14:textId="77777777" w:rsidR="001A2EF7" w:rsidRPr="001A2EF7" w:rsidRDefault="001A2EF7" w:rsidP="003E733E">
      <w:pPr>
        <w:widowControl w:val="0"/>
        <w:spacing w:line="240" w:lineRule="atLeast"/>
        <w:rPr>
          <w:rFonts w:ascii="Arial" w:hAnsi="Arial" w:cs="Arial"/>
          <w:sz w:val="22"/>
          <w:szCs w:val="22"/>
        </w:rPr>
      </w:pPr>
    </w:p>
    <w:p w14:paraId="7305A0A6" w14:textId="77777777" w:rsidR="001A2EF7" w:rsidRDefault="001A2EF7" w:rsidP="003E733E">
      <w:pPr>
        <w:widowControl w:val="0"/>
        <w:spacing w:line="240" w:lineRule="atLeast"/>
        <w:rPr>
          <w:rFonts w:ascii="Arial" w:hAnsi="Arial" w:cs="Arial"/>
        </w:rPr>
      </w:pPr>
    </w:p>
    <w:p w14:paraId="39F0ECF4" w14:textId="77777777" w:rsidR="006D67FD" w:rsidRPr="0007090C" w:rsidRDefault="006D67FD" w:rsidP="003E733E">
      <w:pPr>
        <w:widowControl w:val="0"/>
        <w:spacing w:line="240" w:lineRule="atLeast"/>
        <w:rPr>
          <w:rFonts w:ascii="Arial" w:hAnsi="Arial" w:cs="Arial"/>
        </w:rPr>
      </w:pPr>
    </w:p>
    <w:p w14:paraId="6ABF0ECD" w14:textId="77777777" w:rsidR="00C91C6B" w:rsidRPr="001A2EF7" w:rsidRDefault="001D6159" w:rsidP="003E733E">
      <w:pPr>
        <w:widowControl w:val="0"/>
        <w:spacing w:line="240" w:lineRule="atLeast"/>
        <w:rPr>
          <w:rFonts w:ascii="Arial" w:hAnsi="Arial" w:cs="Arial"/>
          <w:sz w:val="22"/>
          <w:szCs w:val="22"/>
        </w:rPr>
      </w:pPr>
      <w:r w:rsidRPr="001A2EF7">
        <w:rPr>
          <w:rFonts w:ascii="Arial" w:hAnsi="Arial" w:cs="Arial"/>
          <w:sz w:val="22"/>
          <w:szCs w:val="22"/>
        </w:rPr>
        <w:t xml:space="preserve">Date:  </w:t>
      </w:r>
      <w:r w:rsidR="00EF3A59">
        <w:rPr>
          <w:rFonts w:ascii="Arial" w:hAnsi="Arial" w:cs="Arial"/>
          <w:sz w:val="22"/>
          <w:szCs w:val="22"/>
        </w:rPr>
        <w:t>April</w:t>
      </w:r>
      <w:r w:rsidR="0018470B">
        <w:rPr>
          <w:rFonts w:ascii="Arial" w:hAnsi="Arial" w:cs="Arial"/>
          <w:sz w:val="22"/>
          <w:szCs w:val="22"/>
        </w:rPr>
        <w:t xml:space="preserve"> </w:t>
      </w:r>
      <w:r w:rsidR="00DF61FC">
        <w:rPr>
          <w:rFonts w:ascii="Arial" w:hAnsi="Arial" w:cs="Arial"/>
          <w:sz w:val="22"/>
          <w:szCs w:val="22"/>
        </w:rPr>
        <w:t>2024</w:t>
      </w:r>
    </w:p>
    <w:sectPr w:rsidR="00C91C6B" w:rsidRPr="001A2EF7" w:rsidSect="00E5520E">
      <w:headerReference w:type="default" r:id="rId23"/>
      <w:footerReference w:type="default" r:id="rId2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632E" w14:textId="77777777" w:rsidR="00245F87" w:rsidRDefault="00245F87" w:rsidP="000742F4">
      <w:r>
        <w:separator/>
      </w:r>
    </w:p>
  </w:endnote>
  <w:endnote w:type="continuationSeparator" w:id="0">
    <w:p w14:paraId="7CE30B06" w14:textId="77777777" w:rsidR="00245F87" w:rsidRDefault="00245F87" w:rsidP="0007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950436"/>
      <w:docPartObj>
        <w:docPartGallery w:val="Page Numbers (Bottom of Page)"/>
        <w:docPartUnique/>
      </w:docPartObj>
    </w:sdtPr>
    <w:sdtEndPr>
      <w:rPr>
        <w:noProof/>
      </w:rPr>
    </w:sdtEndPr>
    <w:sdtContent>
      <w:p w14:paraId="46BAC015" w14:textId="77777777" w:rsidR="00CF46FA" w:rsidRDefault="00CF4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7CDC8" w14:textId="77777777" w:rsidR="00CF46FA" w:rsidRDefault="00CF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957E" w14:textId="77777777" w:rsidR="00245F87" w:rsidRDefault="00245F87" w:rsidP="000742F4">
      <w:r>
        <w:separator/>
      </w:r>
    </w:p>
  </w:footnote>
  <w:footnote w:type="continuationSeparator" w:id="0">
    <w:p w14:paraId="25CD7768" w14:textId="77777777" w:rsidR="00245F87" w:rsidRDefault="00245F87" w:rsidP="0007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41DA" w14:textId="77777777"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F749D1"/>
    <w:multiLevelType w:val="hybridMultilevel"/>
    <w:tmpl w:val="2E224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07A41"/>
    <w:multiLevelType w:val="hybridMultilevel"/>
    <w:tmpl w:val="BC88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C56FF"/>
    <w:multiLevelType w:val="hybridMultilevel"/>
    <w:tmpl w:val="9F92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754CF"/>
    <w:multiLevelType w:val="hybridMultilevel"/>
    <w:tmpl w:val="BBF40206"/>
    <w:lvl w:ilvl="0" w:tplc="508A4C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65775"/>
    <w:multiLevelType w:val="hybridMultilevel"/>
    <w:tmpl w:val="FDF0767C"/>
    <w:lvl w:ilvl="0" w:tplc="F7586CF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9"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47E64"/>
    <w:multiLevelType w:val="hybridMultilevel"/>
    <w:tmpl w:val="4AA04900"/>
    <w:lvl w:ilvl="0" w:tplc="F7586CF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907033">
    <w:abstractNumId w:val="21"/>
  </w:num>
  <w:num w:numId="2" w16cid:durableId="943924615">
    <w:abstractNumId w:val="23"/>
  </w:num>
  <w:num w:numId="3" w16cid:durableId="530727056">
    <w:abstractNumId w:val="19"/>
  </w:num>
  <w:num w:numId="4" w16cid:durableId="229538273">
    <w:abstractNumId w:val="20"/>
  </w:num>
  <w:num w:numId="5" w16cid:durableId="1094210430">
    <w:abstractNumId w:val="12"/>
  </w:num>
  <w:num w:numId="6" w16cid:durableId="848638646">
    <w:abstractNumId w:val="5"/>
  </w:num>
  <w:num w:numId="7" w16cid:durableId="681661322">
    <w:abstractNumId w:val="7"/>
  </w:num>
  <w:num w:numId="8" w16cid:durableId="1415081371">
    <w:abstractNumId w:val="6"/>
  </w:num>
  <w:num w:numId="9" w16cid:durableId="382019583">
    <w:abstractNumId w:val="16"/>
  </w:num>
  <w:num w:numId="10" w16cid:durableId="989024057">
    <w:abstractNumId w:val="2"/>
  </w:num>
  <w:num w:numId="11" w16cid:durableId="802040669">
    <w:abstractNumId w:val="4"/>
  </w:num>
  <w:num w:numId="12" w16cid:durableId="1320616894">
    <w:abstractNumId w:val="10"/>
  </w:num>
  <w:num w:numId="13" w16cid:durableId="543979067">
    <w:abstractNumId w:val="17"/>
  </w:num>
  <w:num w:numId="14" w16cid:durableId="1871184436">
    <w:abstractNumId w:val="24"/>
  </w:num>
  <w:num w:numId="15" w16cid:durableId="1323464390">
    <w:abstractNumId w:val="8"/>
  </w:num>
  <w:num w:numId="16" w16cid:durableId="1118984491">
    <w:abstractNumId w:val="18"/>
  </w:num>
  <w:num w:numId="17" w16cid:durableId="210964357">
    <w:abstractNumId w:val="11"/>
  </w:num>
  <w:num w:numId="18" w16cid:durableId="1921913877">
    <w:abstractNumId w:val="14"/>
  </w:num>
  <w:num w:numId="19" w16cid:durableId="1589536615">
    <w:abstractNumId w:val="0"/>
  </w:num>
  <w:num w:numId="20" w16cid:durableId="1820029495">
    <w:abstractNumId w:val="15"/>
  </w:num>
  <w:num w:numId="21" w16cid:durableId="1236821329">
    <w:abstractNumId w:val="1"/>
  </w:num>
  <w:num w:numId="22" w16cid:durableId="1954052764">
    <w:abstractNumId w:val="9"/>
  </w:num>
  <w:num w:numId="23" w16cid:durableId="458768291">
    <w:abstractNumId w:val="13"/>
  </w:num>
  <w:num w:numId="24" w16cid:durableId="1145314776">
    <w:abstractNumId w:val="22"/>
  </w:num>
  <w:num w:numId="25" w16cid:durableId="40250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0F62"/>
    <w:rsid w:val="00006C32"/>
    <w:rsid w:val="00036AAF"/>
    <w:rsid w:val="0004514C"/>
    <w:rsid w:val="00045483"/>
    <w:rsid w:val="000465A2"/>
    <w:rsid w:val="0004743D"/>
    <w:rsid w:val="00060A1E"/>
    <w:rsid w:val="0007090C"/>
    <w:rsid w:val="00071126"/>
    <w:rsid w:val="000742F4"/>
    <w:rsid w:val="000851E8"/>
    <w:rsid w:val="000D48AF"/>
    <w:rsid w:val="000D4CEA"/>
    <w:rsid w:val="000E060B"/>
    <w:rsid w:val="000E27F8"/>
    <w:rsid w:val="00100224"/>
    <w:rsid w:val="00144699"/>
    <w:rsid w:val="001456D0"/>
    <w:rsid w:val="00156B0C"/>
    <w:rsid w:val="001571E7"/>
    <w:rsid w:val="00157530"/>
    <w:rsid w:val="00162A80"/>
    <w:rsid w:val="00173203"/>
    <w:rsid w:val="001769C2"/>
    <w:rsid w:val="00177727"/>
    <w:rsid w:val="001807B6"/>
    <w:rsid w:val="0018470B"/>
    <w:rsid w:val="00193092"/>
    <w:rsid w:val="001954D7"/>
    <w:rsid w:val="001A0127"/>
    <w:rsid w:val="001A2EF7"/>
    <w:rsid w:val="001A5299"/>
    <w:rsid w:val="001D1026"/>
    <w:rsid w:val="001D6159"/>
    <w:rsid w:val="001E06A5"/>
    <w:rsid w:val="001F5D23"/>
    <w:rsid w:val="00201F54"/>
    <w:rsid w:val="00210290"/>
    <w:rsid w:val="002409F7"/>
    <w:rsid w:val="00245F87"/>
    <w:rsid w:val="002525A5"/>
    <w:rsid w:val="0028022C"/>
    <w:rsid w:val="002848B0"/>
    <w:rsid w:val="00294B38"/>
    <w:rsid w:val="002B0A3A"/>
    <w:rsid w:val="002D13EA"/>
    <w:rsid w:val="002D5AF2"/>
    <w:rsid w:val="002E5D71"/>
    <w:rsid w:val="002F23D0"/>
    <w:rsid w:val="002F2D9A"/>
    <w:rsid w:val="0030586C"/>
    <w:rsid w:val="00320C47"/>
    <w:rsid w:val="00350424"/>
    <w:rsid w:val="0035277F"/>
    <w:rsid w:val="00360667"/>
    <w:rsid w:val="003648EB"/>
    <w:rsid w:val="00397295"/>
    <w:rsid w:val="003A623F"/>
    <w:rsid w:val="003A6FCD"/>
    <w:rsid w:val="003A7E0F"/>
    <w:rsid w:val="003B1D54"/>
    <w:rsid w:val="003D0706"/>
    <w:rsid w:val="003D2A5E"/>
    <w:rsid w:val="003E1BDE"/>
    <w:rsid w:val="003E733E"/>
    <w:rsid w:val="003F08D0"/>
    <w:rsid w:val="003F5B71"/>
    <w:rsid w:val="004032F3"/>
    <w:rsid w:val="0042340B"/>
    <w:rsid w:val="00432EA4"/>
    <w:rsid w:val="00440AB6"/>
    <w:rsid w:val="0045301D"/>
    <w:rsid w:val="00465E8E"/>
    <w:rsid w:val="00466523"/>
    <w:rsid w:val="00481616"/>
    <w:rsid w:val="00483B5C"/>
    <w:rsid w:val="00485DF7"/>
    <w:rsid w:val="004A1203"/>
    <w:rsid w:val="004A3655"/>
    <w:rsid w:val="004B2B41"/>
    <w:rsid w:val="004C1F46"/>
    <w:rsid w:val="004C2173"/>
    <w:rsid w:val="004C702A"/>
    <w:rsid w:val="004F6A4A"/>
    <w:rsid w:val="005021F0"/>
    <w:rsid w:val="00506BA8"/>
    <w:rsid w:val="00507024"/>
    <w:rsid w:val="005174B0"/>
    <w:rsid w:val="005260C9"/>
    <w:rsid w:val="005334EE"/>
    <w:rsid w:val="0054024D"/>
    <w:rsid w:val="0054409E"/>
    <w:rsid w:val="00546618"/>
    <w:rsid w:val="0054783F"/>
    <w:rsid w:val="00570229"/>
    <w:rsid w:val="005A2304"/>
    <w:rsid w:val="005A27CE"/>
    <w:rsid w:val="005A30EB"/>
    <w:rsid w:val="005C1C9E"/>
    <w:rsid w:val="005C40B4"/>
    <w:rsid w:val="005C47D1"/>
    <w:rsid w:val="005D40DA"/>
    <w:rsid w:val="005E21AA"/>
    <w:rsid w:val="005F7418"/>
    <w:rsid w:val="006005AF"/>
    <w:rsid w:val="006137D5"/>
    <w:rsid w:val="00623C07"/>
    <w:rsid w:val="006372DE"/>
    <w:rsid w:val="00654B2F"/>
    <w:rsid w:val="006610A7"/>
    <w:rsid w:val="00664507"/>
    <w:rsid w:val="006706C3"/>
    <w:rsid w:val="006854FD"/>
    <w:rsid w:val="006A565C"/>
    <w:rsid w:val="006B168C"/>
    <w:rsid w:val="006C19B1"/>
    <w:rsid w:val="006C71B0"/>
    <w:rsid w:val="006D67FD"/>
    <w:rsid w:val="006E143D"/>
    <w:rsid w:val="006E6D65"/>
    <w:rsid w:val="006F5095"/>
    <w:rsid w:val="006F7241"/>
    <w:rsid w:val="00707C7F"/>
    <w:rsid w:val="00725041"/>
    <w:rsid w:val="00733293"/>
    <w:rsid w:val="007370F5"/>
    <w:rsid w:val="00746DA0"/>
    <w:rsid w:val="0074737B"/>
    <w:rsid w:val="00766871"/>
    <w:rsid w:val="007922B9"/>
    <w:rsid w:val="007C019F"/>
    <w:rsid w:val="007C3EDA"/>
    <w:rsid w:val="007D25AB"/>
    <w:rsid w:val="007E0E53"/>
    <w:rsid w:val="008016F9"/>
    <w:rsid w:val="00804CC4"/>
    <w:rsid w:val="00823A88"/>
    <w:rsid w:val="008433D8"/>
    <w:rsid w:val="008621F1"/>
    <w:rsid w:val="00867E02"/>
    <w:rsid w:val="00883021"/>
    <w:rsid w:val="00892431"/>
    <w:rsid w:val="008A4F21"/>
    <w:rsid w:val="008C4C85"/>
    <w:rsid w:val="008D62AE"/>
    <w:rsid w:val="008F25E6"/>
    <w:rsid w:val="00910B42"/>
    <w:rsid w:val="00922E48"/>
    <w:rsid w:val="009505AB"/>
    <w:rsid w:val="00951603"/>
    <w:rsid w:val="009560E8"/>
    <w:rsid w:val="009660A7"/>
    <w:rsid w:val="009977E0"/>
    <w:rsid w:val="009C4B67"/>
    <w:rsid w:val="009D70D5"/>
    <w:rsid w:val="009E4305"/>
    <w:rsid w:val="009E7858"/>
    <w:rsid w:val="009F35D7"/>
    <w:rsid w:val="00A07EDC"/>
    <w:rsid w:val="00A16D2A"/>
    <w:rsid w:val="00A303CD"/>
    <w:rsid w:val="00A368E8"/>
    <w:rsid w:val="00A51246"/>
    <w:rsid w:val="00A6540A"/>
    <w:rsid w:val="00A744F9"/>
    <w:rsid w:val="00A81672"/>
    <w:rsid w:val="00A87122"/>
    <w:rsid w:val="00A90952"/>
    <w:rsid w:val="00A965A8"/>
    <w:rsid w:val="00AA64B7"/>
    <w:rsid w:val="00AB43E9"/>
    <w:rsid w:val="00AB523C"/>
    <w:rsid w:val="00AF0D3F"/>
    <w:rsid w:val="00AF269A"/>
    <w:rsid w:val="00B001E2"/>
    <w:rsid w:val="00B110A8"/>
    <w:rsid w:val="00B30E4E"/>
    <w:rsid w:val="00B37A11"/>
    <w:rsid w:val="00B44B51"/>
    <w:rsid w:val="00B6188E"/>
    <w:rsid w:val="00B65F21"/>
    <w:rsid w:val="00BD1CD5"/>
    <w:rsid w:val="00C017FD"/>
    <w:rsid w:val="00C04725"/>
    <w:rsid w:val="00C2109F"/>
    <w:rsid w:val="00C53FCA"/>
    <w:rsid w:val="00C77915"/>
    <w:rsid w:val="00C82F11"/>
    <w:rsid w:val="00C91C6B"/>
    <w:rsid w:val="00CA1FF7"/>
    <w:rsid w:val="00CA56D7"/>
    <w:rsid w:val="00CA5C4A"/>
    <w:rsid w:val="00CA6B22"/>
    <w:rsid w:val="00CB014F"/>
    <w:rsid w:val="00CC2103"/>
    <w:rsid w:val="00CC4320"/>
    <w:rsid w:val="00CD7BDD"/>
    <w:rsid w:val="00CE15D8"/>
    <w:rsid w:val="00CF46FA"/>
    <w:rsid w:val="00D400C4"/>
    <w:rsid w:val="00D4144A"/>
    <w:rsid w:val="00D5335A"/>
    <w:rsid w:val="00D97841"/>
    <w:rsid w:val="00DB0611"/>
    <w:rsid w:val="00DB5F14"/>
    <w:rsid w:val="00DD5CE5"/>
    <w:rsid w:val="00DF61FC"/>
    <w:rsid w:val="00E06136"/>
    <w:rsid w:val="00E117A4"/>
    <w:rsid w:val="00E16E1D"/>
    <w:rsid w:val="00E22E98"/>
    <w:rsid w:val="00E264C9"/>
    <w:rsid w:val="00E5520E"/>
    <w:rsid w:val="00E63F90"/>
    <w:rsid w:val="00E66A7B"/>
    <w:rsid w:val="00E73CF9"/>
    <w:rsid w:val="00E828D4"/>
    <w:rsid w:val="00E8363F"/>
    <w:rsid w:val="00E91E2B"/>
    <w:rsid w:val="00E94B48"/>
    <w:rsid w:val="00EA157C"/>
    <w:rsid w:val="00EB0C90"/>
    <w:rsid w:val="00EB4565"/>
    <w:rsid w:val="00EC6878"/>
    <w:rsid w:val="00EE5747"/>
    <w:rsid w:val="00EE5861"/>
    <w:rsid w:val="00EF164E"/>
    <w:rsid w:val="00EF3A59"/>
    <w:rsid w:val="00F05A44"/>
    <w:rsid w:val="00F16465"/>
    <w:rsid w:val="00F168AA"/>
    <w:rsid w:val="00F22221"/>
    <w:rsid w:val="00F24227"/>
    <w:rsid w:val="00F2755E"/>
    <w:rsid w:val="00F43CC4"/>
    <w:rsid w:val="00F477BE"/>
    <w:rsid w:val="00F528F0"/>
    <w:rsid w:val="00F52BBF"/>
    <w:rsid w:val="00F534C1"/>
    <w:rsid w:val="00F72610"/>
    <w:rsid w:val="00F81841"/>
    <w:rsid w:val="00F92CE2"/>
    <w:rsid w:val="00FA2EFA"/>
    <w:rsid w:val="00FB1CB1"/>
    <w:rsid w:val="00FE1D2B"/>
    <w:rsid w:val="1FCA4E78"/>
    <w:rsid w:val="30BB0CD8"/>
    <w:rsid w:val="33F2AD9A"/>
    <w:rsid w:val="358E7DFB"/>
    <w:rsid w:val="3A48C6C1"/>
    <w:rsid w:val="4253D8A6"/>
    <w:rsid w:val="4D9E78D3"/>
    <w:rsid w:val="5271E9F6"/>
    <w:rsid w:val="53F491FA"/>
    <w:rsid w:val="6362A856"/>
    <w:rsid w:val="7DFA4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19726"/>
  <w15:docId w15:val="{5B0C2807-BD9E-41DC-9205-A93E7ABC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C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5277F"/>
    <w:pPr>
      <w:keepNext/>
      <w:widowControl w:val="0"/>
      <w:ind w:left="2520" w:hanging="360"/>
      <w:outlineLvl w:val="0"/>
    </w:pPr>
    <w:rPr>
      <w:rFonts w:ascii="Helvetica" w:hAnsi="Helvetica"/>
      <w:b/>
      <w:sz w:val="18"/>
      <w:szCs w:val="20"/>
    </w:rPr>
  </w:style>
  <w:style w:type="paragraph" w:styleId="Heading2">
    <w:name w:val="heading 2"/>
    <w:basedOn w:val="Normal"/>
    <w:next w:val="Normal"/>
    <w:link w:val="Heading2Char"/>
    <w:qFormat/>
    <w:rsid w:val="0035277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hAnsi="Verdana"/>
      <w:sz w:val="20"/>
      <w:szCs w:val="20"/>
      <w:lang w:val="en-US" w:eastAsia="en-US"/>
    </w:rPr>
  </w:style>
  <w:style w:type="paragraph" w:customStyle="1" w:styleId="CharChar1CharCharChar">
    <w:name w:val="Char Char1 Char Char Char"/>
    <w:basedOn w:val="Normal"/>
    <w:semiHidden/>
    <w:rsid w:val="00F2755E"/>
    <w:pPr>
      <w:spacing w:after="160" w:line="240" w:lineRule="exact"/>
    </w:pPr>
    <w:rPr>
      <w:rFonts w:ascii="Verdana" w:hAnsi="Verdana"/>
      <w:szCs w:val="20"/>
      <w:lang w:val="en-US" w:eastAsia="en-US"/>
    </w:rPr>
  </w:style>
  <w:style w:type="paragraph" w:styleId="Header">
    <w:name w:val="header"/>
    <w:basedOn w:val="Normal"/>
    <w:link w:val="HeaderChar"/>
    <w:uiPriority w:val="99"/>
    <w:unhideWhenUsed/>
    <w:rsid w:val="000742F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unhideWhenUsed/>
    <w:rsid w:val="0035277F"/>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5277F"/>
    <w:rPr>
      <w:sz w:val="20"/>
      <w:szCs w:val="20"/>
    </w:rPr>
  </w:style>
  <w:style w:type="paragraph" w:styleId="NormalWeb">
    <w:name w:val="Normal (Web)"/>
    <w:basedOn w:val="Normal"/>
    <w:uiPriority w:val="99"/>
    <w:semiHidden/>
    <w:unhideWhenUsed/>
    <w:rsid w:val="0035277F"/>
    <w:pPr>
      <w:spacing w:after="150"/>
    </w:p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line="280" w:lineRule="exact"/>
      <w:ind w:left="2260" w:hanging="2240"/>
    </w:pPr>
    <w:rPr>
      <w:rFonts w:ascii="Palatino" w:hAnsi="Palatino"/>
      <w:sz w:val="20"/>
      <w:szCs w:val="20"/>
    </w:rPr>
  </w:style>
  <w:style w:type="paragraph" w:styleId="BodyTextIndent">
    <w:name w:val="Body Text Indent"/>
    <w:basedOn w:val="Normal"/>
    <w:link w:val="BodyTextIndentChar"/>
    <w:rsid w:val="00725041"/>
    <w:pPr>
      <w:ind w:left="2160"/>
    </w:pPr>
    <w:rPr>
      <w:rFonts w:ascii="Helvetica" w:hAnsi="Helvetica"/>
      <w:sz w:val="18"/>
      <w:szCs w:val="20"/>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character" w:customStyle="1" w:styleId="hgkelc">
    <w:name w:val="hgkelc"/>
    <w:basedOn w:val="DefaultParagraphFont"/>
    <w:rsid w:val="00F43CC4"/>
  </w:style>
  <w:style w:type="character" w:styleId="Emphasis">
    <w:name w:val="Emphasis"/>
    <w:basedOn w:val="DefaultParagraphFont"/>
    <w:uiPriority w:val="20"/>
    <w:qFormat/>
    <w:rsid w:val="005334EE"/>
    <w:rPr>
      <w:i/>
      <w:iCs/>
    </w:rPr>
  </w:style>
  <w:style w:type="paragraph" w:styleId="Revision">
    <w:name w:val="Revision"/>
    <w:hidden/>
    <w:uiPriority w:val="99"/>
    <w:semiHidden/>
    <w:rsid w:val="006706C3"/>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D4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306007893">
      <w:bodyDiv w:val="1"/>
      <w:marLeft w:val="0"/>
      <w:marRight w:val="0"/>
      <w:marTop w:val="0"/>
      <w:marBottom w:val="0"/>
      <w:divBdr>
        <w:top w:val="none" w:sz="0" w:space="0" w:color="auto"/>
        <w:left w:val="none" w:sz="0" w:space="0" w:color="auto"/>
        <w:bottom w:val="none" w:sz="0" w:space="0" w:color="auto"/>
        <w:right w:val="none" w:sz="0" w:space="0" w:color="auto"/>
      </w:divBdr>
    </w:div>
    <w:div w:id="483278486">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440222205">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brighton.ac.uk/about-us/working-with-us/jobs/index.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righton.ac.uk/about-us/working-with-us/jobs/benefits-and-facilities.aspx"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brighton.ac.uk/practical-wisdom/index.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righton.ac.uk/about-us/contact-us/professional-services-departments/index.aspx" TargetMode="External"/><Relationship Id="rId20" Type="http://schemas.openxmlformats.org/officeDocument/2006/relationships/hyperlink" Target="https://www.brighton.ac.uk/about-us/working-with-us/jobs/benefits-and-faciliti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righton.ac.uk/research-and-enterprise/research/index.asp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righton.ac.uk/about-us/working-with-us/jobs/equality-diversity-and-inclus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about-us/contact-us/academic-departments/index.aspx" TargetMode="External"/><Relationship Id="rId22" Type="http://schemas.openxmlformats.org/officeDocument/2006/relationships/hyperlink" Target="https://www.brighton.ac.uk/about-us/your-university/educational-partnership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f9408a5-d72a-4a7e-8251-f89329647c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46C3CA86F04B498472AA86AFE7B90D" ma:contentTypeVersion="18" ma:contentTypeDescription="Create a new document." ma:contentTypeScope="" ma:versionID="c5d102fadfc58e70d44559e6554ffdac">
  <xsd:schema xmlns:xsd="http://www.w3.org/2001/XMLSchema" xmlns:xs="http://www.w3.org/2001/XMLSchema" xmlns:p="http://schemas.microsoft.com/office/2006/metadata/properties" xmlns:ns3="3f9408a5-d72a-4a7e-8251-f89329647c7a" xmlns:ns4="0f5f0fda-588a-4eaf-ae37-0a71592d13e2" targetNamespace="http://schemas.microsoft.com/office/2006/metadata/properties" ma:root="true" ma:fieldsID="7eaab3bcac671e7d0564f6649b3a4378" ns3:_="" ns4:_="">
    <xsd:import namespace="3f9408a5-d72a-4a7e-8251-f89329647c7a"/>
    <xsd:import namespace="0f5f0fda-588a-4eaf-ae37-0a71592d13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408a5-d72a-4a7e-8251-f89329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f0fda-588a-4eaf-ae37-0a71592d13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2.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3f9408a5-d72a-4a7e-8251-f89329647c7a"/>
  </ds:schemaRefs>
</ds:datastoreItem>
</file>

<file path=customXml/itemProps3.xml><?xml version="1.0" encoding="utf-8"?>
<ds:datastoreItem xmlns:ds="http://schemas.openxmlformats.org/officeDocument/2006/customXml" ds:itemID="{82D8C336-9564-4A8D-97E2-F3FC572CD07D}">
  <ds:schemaRefs>
    <ds:schemaRef ds:uri="http://schemas.openxmlformats.org/officeDocument/2006/bibliography"/>
  </ds:schemaRefs>
</ds:datastoreItem>
</file>

<file path=customXml/itemProps4.xml><?xml version="1.0" encoding="utf-8"?>
<ds:datastoreItem xmlns:ds="http://schemas.openxmlformats.org/officeDocument/2006/customXml" ds:itemID="{988E715D-8A86-449D-8000-B72691206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408a5-d72a-4a7e-8251-f89329647c7a"/>
    <ds:schemaRef ds:uri="0f5f0fda-588a-4eaf-ae37-0a71592d1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5</Pages>
  <Words>1742</Words>
  <Characters>10574</Characters>
  <Application>Microsoft Office Word</Application>
  <DocSecurity>0</DocSecurity>
  <Lines>182</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Hird</dc:creator>
  <cp:lastModifiedBy>Tom Gough</cp:lastModifiedBy>
  <cp:revision>4</cp:revision>
  <cp:lastPrinted>2016-10-24T14:35:00Z</cp:lastPrinted>
  <dcterms:created xsi:type="dcterms:W3CDTF">2025-11-03T16:59:00Z</dcterms:created>
  <dcterms:modified xsi:type="dcterms:W3CDTF">2025-11-04T15:14:00Z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0x0101004F46C3CA86F04B498472AA86AFE7B90D</vt:lpwstr>
  </property>
  <property fmtid="{D5CDD505-2E9C-101B-9397-08002B2CF9AE}" pid="3" name="TaxKeyword">
    <vt:lpwstr/>
  </property>
  <property fmtid="{D5CDD505-2E9C-101B-9397-08002B2CF9AE}" pid="4" name="Topic">
    <vt:lpwstr>2;#Recruitment and Selection|e6784543-6ce2-42d2-96e9-f5ff637afdb1</vt:lpwstr>
  </property>
  <property fmtid="{D5CDD505-2E9C-101B-9397-08002B2CF9AE}" pid="5" name="Department Owner">
    <vt:lpwstr>1;#Human Resources|60c9484a-b5e8-4db8-901a-3549e93242b7</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ies>
</file>